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0E2A9" w14:textId="0F1A8CA4" w:rsidR="0027363A" w:rsidRPr="0027363A" w:rsidRDefault="00200A06" w:rsidP="00200A06">
      <w:pPr>
        <w:pStyle w:val="NormalWeb"/>
        <w:jc w:val="center"/>
        <w:rPr>
          <w:rStyle w:val="kcmread1114"/>
          <w:rFonts w:ascii="Book Antiqua" w:hAnsi="Book Antiqua"/>
          <w:b/>
          <w:sz w:val="36"/>
          <w:szCs w:val="36"/>
          <w:lang w:val="id-ID"/>
        </w:rPr>
      </w:pPr>
      <w:bookmarkStart w:id="0" w:name="_Hlk208834418"/>
      <w:r w:rsidRPr="00200A06">
        <w:rPr>
          <w:rFonts w:ascii="Book Antiqua" w:hAnsi="Book Antiqua"/>
          <w:b/>
          <w:sz w:val="36"/>
          <w:szCs w:val="36"/>
          <w:lang w:val="sv-SE"/>
        </w:rPr>
        <w:t>Standarisasi dan Regulasi Sarana-Prasarana Pendidikan dalam Perspektif Manajemen</w:t>
      </w:r>
    </w:p>
    <w:bookmarkEnd w:id="0"/>
    <w:p w14:paraId="56121523" w14:textId="77777777" w:rsidR="00103344" w:rsidRDefault="00200A06" w:rsidP="00103344">
      <w:pPr>
        <w:pStyle w:val="NormalWeb"/>
        <w:spacing w:before="0" w:beforeAutospacing="0" w:after="0" w:afterAutospacing="0"/>
        <w:jc w:val="center"/>
        <w:rPr>
          <w:rStyle w:val="kcmread1114"/>
          <w:rFonts w:ascii="Book Antiqua" w:hAnsi="Book Antiqua"/>
          <w:b/>
          <w:sz w:val="36"/>
          <w:szCs w:val="36"/>
        </w:rPr>
      </w:pPr>
      <w:r w:rsidRPr="00200A06">
        <w:rPr>
          <w:rStyle w:val="kcmread1114"/>
          <w:rFonts w:ascii="Book Antiqua" w:hAnsi="Book Antiqua"/>
          <w:b/>
          <w:sz w:val="36"/>
          <w:szCs w:val="36"/>
        </w:rPr>
        <w:t>Standardization and Regulation of Educational Facilities and Infrastructure from a Management Perspective</w:t>
      </w:r>
    </w:p>
    <w:p w14:paraId="3ABE79D3" w14:textId="77777777" w:rsidR="00103344" w:rsidRDefault="00103344" w:rsidP="00103344">
      <w:pPr>
        <w:pStyle w:val="NormalWeb"/>
        <w:spacing w:before="0" w:beforeAutospacing="0" w:after="0" w:afterAutospacing="0"/>
        <w:jc w:val="center"/>
        <w:rPr>
          <w:rFonts w:ascii="Book Antiqua" w:hAnsi="Book Antiqua"/>
          <w:b/>
          <w:sz w:val="36"/>
          <w:szCs w:val="36"/>
        </w:rPr>
      </w:pPr>
    </w:p>
    <w:p w14:paraId="0475C974" w14:textId="0EC1C565" w:rsidR="002E11DB" w:rsidRPr="00103344" w:rsidRDefault="009422ED" w:rsidP="00103344">
      <w:pPr>
        <w:pStyle w:val="NormalWeb"/>
        <w:spacing w:before="0" w:beforeAutospacing="0" w:after="0" w:afterAutospacing="0"/>
        <w:jc w:val="center"/>
        <w:rPr>
          <w:rFonts w:ascii="Book Antiqua" w:hAnsi="Book Antiqua"/>
          <w:b/>
          <w:bCs/>
          <w:sz w:val="22"/>
          <w:szCs w:val="22"/>
          <w:vertAlign w:val="superscript"/>
          <w:lang w:val="sv-SE"/>
        </w:rPr>
      </w:pPr>
      <w:r w:rsidRPr="009422ED">
        <w:rPr>
          <w:rFonts w:ascii="Book Antiqua" w:hAnsi="Book Antiqua"/>
          <w:b/>
          <w:bCs/>
          <w:sz w:val="22"/>
          <w:szCs w:val="22"/>
          <w:lang w:val="sv-SE"/>
        </w:rPr>
        <w:t>Andrian Khoirul Ummah</w:t>
      </w:r>
      <w:r w:rsidR="002E11DB" w:rsidRPr="009422ED">
        <w:rPr>
          <w:rFonts w:ascii="Book Antiqua" w:hAnsi="Book Antiqua"/>
          <w:b/>
          <w:bCs/>
          <w:sz w:val="22"/>
          <w:szCs w:val="22"/>
          <w:vertAlign w:val="superscript"/>
          <w:lang w:val="sv-SE"/>
        </w:rPr>
        <w:t>1</w:t>
      </w:r>
      <w:r w:rsidR="00F8067D" w:rsidRPr="009422ED">
        <w:rPr>
          <w:rFonts w:ascii="Book Antiqua" w:hAnsi="Book Antiqua"/>
          <w:b/>
          <w:bCs/>
          <w:sz w:val="22"/>
          <w:szCs w:val="22"/>
          <w:vertAlign w:val="superscript"/>
          <w:lang w:val="sv-SE"/>
        </w:rPr>
        <w:t xml:space="preserve"> </w:t>
      </w:r>
      <w:r w:rsidR="002E11DB" w:rsidRPr="00310CF9">
        <w:rPr>
          <w:rFonts w:ascii="Book Antiqua" w:hAnsi="Book Antiqua"/>
          <w:b/>
          <w:bCs/>
          <w:sz w:val="22"/>
          <w:szCs w:val="22"/>
          <w:vertAlign w:val="superscript"/>
        </w:rPr>
        <w:sym w:font="Wingdings" w:char="F02A"/>
      </w:r>
      <w:r w:rsidR="002E11DB" w:rsidRPr="009422ED">
        <w:rPr>
          <w:rFonts w:ascii="Book Antiqua" w:hAnsi="Book Antiqua"/>
          <w:b/>
          <w:bCs/>
          <w:sz w:val="22"/>
          <w:szCs w:val="22"/>
          <w:lang w:val="sv-SE"/>
        </w:rPr>
        <w:t xml:space="preserve">, </w:t>
      </w:r>
      <w:r w:rsidRPr="009422ED">
        <w:rPr>
          <w:rFonts w:ascii="Book Antiqua" w:hAnsi="Book Antiqua"/>
          <w:b/>
          <w:bCs/>
          <w:sz w:val="22"/>
          <w:szCs w:val="22"/>
          <w:lang w:val="sv-SE"/>
        </w:rPr>
        <w:t>Ahmad Hutami</w:t>
      </w:r>
      <w:r w:rsidR="002E11DB" w:rsidRPr="009422ED">
        <w:rPr>
          <w:rFonts w:ascii="Book Antiqua" w:hAnsi="Book Antiqua"/>
          <w:b/>
          <w:bCs/>
          <w:sz w:val="22"/>
          <w:szCs w:val="22"/>
          <w:vertAlign w:val="superscript"/>
          <w:lang w:val="sv-SE"/>
        </w:rPr>
        <w:t>2</w:t>
      </w:r>
      <w:r>
        <w:rPr>
          <w:rFonts w:ascii="Book Antiqua" w:hAnsi="Book Antiqua"/>
          <w:b/>
          <w:bCs/>
          <w:sz w:val="22"/>
          <w:szCs w:val="22"/>
          <w:vertAlign w:val="superscript"/>
          <w:lang w:val="sv-SE"/>
        </w:rPr>
        <w:t xml:space="preserve"> </w:t>
      </w:r>
      <w:r>
        <w:rPr>
          <w:rFonts w:ascii="Book Antiqua" w:hAnsi="Book Antiqua"/>
          <w:b/>
          <w:bCs/>
          <w:sz w:val="22"/>
          <w:szCs w:val="22"/>
          <w:lang w:val="sv-SE"/>
        </w:rPr>
        <w:t xml:space="preserve">, </w:t>
      </w:r>
      <w:r w:rsidRPr="009422ED">
        <w:rPr>
          <w:rFonts w:ascii="Book Antiqua" w:hAnsi="Book Antiqua"/>
          <w:b/>
          <w:bCs/>
          <w:sz w:val="22"/>
          <w:szCs w:val="22"/>
          <w:lang w:val="sv-SE"/>
        </w:rPr>
        <w:t>Patmawati</w:t>
      </w:r>
      <w:r>
        <w:rPr>
          <w:rFonts w:ascii="Book Antiqua" w:hAnsi="Book Antiqua"/>
          <w:b/>
          <w:bCs/>
          <w:sz w:val="22"/>
          <w:szCs w:val="22"/>
          <w:vertAlign w:val="superscript"/>
          <w:lang w:val="sv-SE"/>
        </w:rPr>
        <w:t>3</w:t>
      </w:r>
      <w:r>
        <w:rPr>
          <w:rFonts w:ascii="Book Antiqua" w:hAnsi="Book Antiqua"/>
          <w:b/>
          <w:bCs/>
          <w:sz w:val="22"/>
          <w:szCs w:val="22"/>
          <w:lang w:val="sv-SE"/>
        </w:rPr>
        <w:t>, Tamara</w:t>
      </w:r>
      <w:r>
        <w:rPr>
          <w:rFonts w:ascii="Book Antiqua" w:hAnsi="Book Antiqua"/>
          <w:b/>
          <w:bCs/>
          <w:sz w:val="22"/>
          <w:szCs w:val="22"/>
          <w:vertAlign w:val="superscript"/>
          <w:lang w:val="sv-SE"/>
        </w:rPr>
        <w:t>4</w:t>
      </w:r>
      <w:r w:rsidRPr="009422ED">
        <w:rPr>
          <w:rFonts w:ascii="Book Antiqua" w:hAnsi="Book Antiqua"/>
          <w:b/>
          <w:bCs/>
          <w:sz w:val="22"/>
          <w:szCs w:val="22"/>
          <w:vertAlign w:val="superscript"/>
          <w:lang w:val="sv-SE"/>
        </w:rPr>
        <w:t xml:space="preserve">   </w:t>
      </w:r>
    </w:p>
    <w:p w14:paraId="25EFC9C0" w14:textId="555F920A" w:rsidR="002E11DB" w:rsidRPr="00103344" w:rsidRDefault="002E11DB" w:rsidP="00103344">
      <w:pPr>
        <w:shd w:val="clear" w:color="auto" w:fill="FFFFFF"/>
        <w:jc w:val="center"/>
        <w:rPr>
          <w:rFonts w:ascii="Book Antiqua" w:hAnsi="Book Antiqua"/>
          <w:lang w:val="sv-SE"/>
        </w:rPr>
      </w:pPr>
      <w:r w:rsidRPr="00103344">
        <w:rPr>
          <w:rFonts w:ascii="Book Antiqua" w:hAnsi="Book Antiqua"/>
          <w:lang w:val="sv-SE"/>
        </w:rPr>
        <w:t>(1</w:t>
      </w:r>
      <w:r w:rsidR="00103344" w:rsidRPr="00103344">
        <w:rPr>
          <w:rFonts w:ascii="Book Antiqua" w:hAnsi="Book Antiqua"/>
          <w:lang w:val="sv-SE"/>
        </w:rPr>
        <w:t>, 2, 3, 3, 4</w:t>
      </w:r>
      <w:r w:rsidRPr="00103344">
        <w:rPr>
          <w:rFonts w:ascii="Book Antiqua" w:hAnsi="Book Antiqua"/>
          <w:lang w:val="sv-SE"/>
        </w:rPr>
        <w:t>)</w:t>
      </w:r>
      <w:r w:rsidR="009422ED" w:rsidRPr="00103344">
        <w:rPr>
          <w:rFonts w:ascii="Book Antiqua" w:hAnsi="Book Antiqua"/>
          <w:lang w:val="sv-SE"/>
        </w:rPr>
        <w:t xml:space="preserve"> Universitas Islam Negeri Sultan Aji Muhammad Idris Samarinda</w:t>
      </w:r>
    </w:p>
    <w:p w14:paraId="38546E17" w14:textId="77777777" w:rsidR="00103344" w:rsidRPr="00103344" w:rsidRDefault="00103344" w:rsidP="00103344">
      <w:pPr>
        <w:shd w:val="clear" w:color="auto" w:fill="FFFFFF"/>
        <w:jc w:val="center"/>
        <w:rPr>
          <w:rFonts w:ascii="Book Antiqua" w:hAnsi="Book Antiqua"/>
          <w:b/>
          <w:lang w:val="sv-SE"/>
        </w:rPr>
      </w:pPr>
    </w:p>
    <w:p w14:paraId="1A104B6A" w14:textId="77777777" w:rsidR="00103344" w:rsidRDefault="002E11DB" w:rsidP="00103344">
      <w:pPr>
        <w:shd w:val="clear" w:color="auto" w:fill="FFFFFF"/>
        <w:rPr>
          <w:rFonts w:ascii="Book Antiqua" w:hAnsi="Book Antiqua"/>
          <w:bCs/>
          <w:sz w:val="18"/>
          <w:szCs w:val="18"/>
        </w:rPr>
      </w:pPr>
      <w:r w:rsidRPr="00310CF9">
        <w:rPr>
          <w:rFonts w:ascii="Book Antiqua" w:hAnsi="Book Antiqua"/>
          <w:bCs/>
          <w:sz w:val="18"/>
          <w:szCs w:val="18"/>
        </w:rPr>
        <w:sym w:font="Wingdings" w:char="F02A"/>
      </w:r>
      <w:r w:rsidRPr="00310CF9">
        <w:rPr>
          <w:rFonts w:ascii="Book Antiqua" w:hAnsi="Book Antiqua"/>
          <w:bCs/>
          <w:sz w:val="18"/>
          <w:szCs w:val="18"/>
        </w:rPr>
        <w:t xml:space="preserve"> Corresponding author</w:t>
      </w:r>
      <w:r w:rsidR="00D54793" w:rsidRPr="00310CF9">
        <w:rPr>
          <w:rFonts w:ascii="Book Antiqua" w:hAnsi="Book Antiqua"/>
          <w:bCs/>
          <w:sz w:val="18"/>
          <w:szCs w:val="18"/>
        </w:rPr>
        <w:t>:</w:t>
      </w:r>
    </w:p>
    <w:p w14:paraId="75A63615" w14:textId="7E29D9ED" w:rsidR="002E11DB" w:rsidRDefault="00FD2E2B" w:rsidP="00103344">
      <w:pPr>
        <w:shd w:val="clear" w:color="auto" w:fill="FFFFFF"/>
        <w:rPr>
          <w:rFonts w:ascii="Book Antiqua" w:hAnsi="Book Antiqua"/>
          <w:bCs/>
          <w:sz w:val="18"/>
          <w:szCs w:val="18"/>
        </w:rPr>
      </w:pPr>
      <w:r w:rsidRPr="00310CF9">
        <w:rPr>
          <w:rFonts w:ascii="Book Antiqua" w:hAnsi="Book Antiqua"/>
          <w:bCs/>
          <w:sz w:val="18"/>
          <w:szCs w:val="18"/>
        </w:rPr>
        <w:t xml:space="preserve"> </w:t>
      </w:r>
      <w:hyperlink r:id="rId8" w:history="1">
        <w:r w:rsidR="009422ED" w:rsidRPr="0090122D">
          <w:rPr>
            <w:rStyle w:val="Hyperlink"/>
            <w:rFonts w:ascii="Book Antiqua" w:hAnsi="Book Antiqua"/>
            <w:bCs/>
            <w:sz w:val="18"/>
            <w:szCs w:val="18"/>
          </w:rPr>
          <w:t>drianhan02@gmail.com</w:t>
        </w:r>
      </w:hyperlink>
      <w:r w:rsidR="009422ED">
        <w:rPr>
          <w:rFonts w:ascii="Book Antiqua" w:hAnsi="Book Antiqua"/>
          <w:bCs/>
          <w:sz w:val="18"/>
          <w:szCs w:val="18"/>
        </w:rPr>
        <w:t xml:space="preserve"> </w:t>
      </w:r>
    </w:p>
    <w:p w14:paraId="4F7E264D" w14:textId="77777777" w:rsidR="005416A9" w:rsidRPr="00310CF9" w:rsidRDefault="005416A9" w:rsidP="00103344">
      <w:pPr>
        <w:rPr>
          <w:rFonts w:ascii="Book Antiqua" w:hAnsi="Book Antiqua"/>
        </w:rPr>
      </w:pPr>
    </w:p>
    <w:p w14:paraId="4A0C742A" w14:textId="7CA2B5A1" w:rsidR="00CC7A74" w:rsidRPr="00103344" w:rsidRDefault="00EA6C88" w:rsidP="00103344">
      <w:pPr>
        <w:autoSpaceDE w:val="0"/>
        <w:autoSpaceDN w:val="0"/>
        <w:adjustRightInd w:val="0"/>
        <w:jc w:val="center"/>
        <w:rPr>
          <w:rFonts w:ascii="Book Antiqua" w:hAnsi="Book Antiqua"/>
          <w:b/>
          <w:bCs/>
          <w:sz w:val="22"/>
          <w:szCs w:val="22"/>
        </w:rPr>
      </w:pPr>
      <w:r w:rsidRPr="00310CF9">
        <w:rPr>
          <w:rFonts w:ascii="Book Antiqua" w:hAnsi="Book Antiqua"/>
          <w:b/>
          <w:bCs/>
          <w:sz w:val="22"/>
          <w:szCs w:val="22"/>
        </w:rPr>
        <w:t>Abstrak</w:t>
      </w:r>
      <w:r w:rsidR="000631B3" w:rsidRPr="00310CF9">
        <w:rPr>
          <w:rFonts w:ascii="Book Antiqua" w:hAnsi="Book Antiqua"/>
          <w:b/>
          <w:bCs/>
          <w:sz w:val="22"/>
          <w:szCs w:val="22"/>
        </w:rPr>
        <w:t xml:space="preserve"> </w:t>
      </w:r>
    </w:p>
    <w:p w14:paraId="2DC99DE4" w14:textId="77777777" w:rsidR="00B459C8" w:rsidRDefault="00B459C8" w:rsidP="00103344">
      <w:pPr>
        <w:ind w:right="57"/>
        <w:jc w:val="both"/>
        <w:rPr>
          <w:rFonts w:ascii="Book Antiqua" w:hAnsi="Book Antiqua"/>
          <w:sz w:val="22"/>
          <w:szCs w:val="22"/>
          <w:shd w:val="clear" w:color="auto" w:fill="FFFFFF"/>
          <w:lang w:val="sv-SE"/>
        </w:rPr>
      </w:pPr>
      <w:r w:rsidRPr="00B459C8">
        <w:rPr>
          <w:rFonts w:ascii="Book Antiqua" w:hAnsi="Book Antiqua"/>
          <w:sz w:val="22"/>
          <w:szCs w:val="22"/>
          <w:shd w:val="clear" w:color="auto" w:fill="FFFFFF"/>
          <w:lang w:val="sv-SE"/>
        </w:rPr>
        <w:t>Penelitian ini bertujuan untuk mendeskripsikan standar dan regulasi sarana prasarana pendidikan serta relevansinya dengan tuntutan pekerjaan dalam konteks manajemen pendidikan. Sarana dan prasarana merupakan faktor penting dalam mendukung keberhasilan proses pembelajaran, sehingga diperlukan standar yang jelas dan regulasi yang sesuai agar pengelolaannya efektif dan efisien. Penelitian ini menggunakan pendekatan kualitatif dengan metode studi pustaka, melalui analisis berbagai peraturan pemerintah, artikel ilmiah, serta literatur terkait manajemen sarana prasarana pendidikan. Hasil penelitian menunjukkan bahwa regulasi pemerintah, seperti PP No. 19 Tahun 2005, Permendiknas No. 24 Tahun 2007, dan Permendikbud No. 127 Tahun 2014, telah menetapkan standar minimal sarana prasarana pendidikan, namun masih menghadapi kendala dalam implementasi di lapangan. Selain itu, terdapat regulasi lain dari kementerian terkait yang memperkuat aspek pengelolaan sarana prasarana, baik di lembaga pendidikan maupun instansi pemerintahan. Kesimpulannya, standarisasi dan regulasi sarana prasarana perlu terus dikembangkan agar selaras dengan kebutuhan pendidikan di era modern. Rekomendasi penelitian ini adalah perlunya evaluasi berkala terhadap regulasi serta penguatan manajemen sarana prasarana di setiap satuan pendidikan.</w:t>
      </w:r>
    </w:p>
    <w:p w14:paraId="269A50AF" w14:textId="77777777" w:rsidR="00103344" w:rsidRPr="00B459C8" w:rsidRDefault="00103344" w:rsidP="00103344">
      <w:pPr>
        <w:ind w:right="57"/>
        <w:jc w:val="both"/>
        <w:rPr>
          <w:rFonts w:ascii="Book Antiqua" w:hAnsi="Book Antiqua"/>
          <w:sz w:val="22"/>
          <w:szCs w:val="22"/>
          <w:shd w:val="clear" w:color="auto" w:fill="FFFFFF"/>
          <w:lang w:val="sv-SE"/>
        </w:rPr>
      </w:pPr>
    </w:p>
    <w:p w14:paraId="0E20026A" w14:textId="4AD9DFAD" w:rsidR="008F68FD" w:rsidRPr="00B459C8" w:rsidRDefault="00B459C8" w:rsidP="00B459C8">
      <w:pPr>
        <w:ind w:right="57"/>
        <w:jc w:val="both"/>
        <w:rPr>
          <w:rFonts w:ascii="Book Antiqua" w:hAnsi="Book Antiqua"/>
          <w:sz w:val="22"/>
          <w:szCs w:val="22"/>
          <w:shd w:val="clear" w:color="auto" w:fill="FFFFFF"/>
          <w:lang w:val="sv-SE"/>
        </w:rPr>
      </w:pPr>
      <w:r w:rsidRPr="00B459C8">
        <w:rPr>
          <w:rFonts w:ascii="Book Antiqua" w:hAnsi="Book Antiqua"/>
          <w:b/>
          <w:bCs/>
          <w:sz w:val="22"/>
          <w:szCs w:val="22"/>
          <w:shd w:val="clear" w:color="auto" w:fill="FFFFFF"/>
          <w:lang w:val="sv-SE"/>
        </w:rPr>
        <w:t>Kata kunci:</w:t>
      </w:r>
      <w:r w:rsidRPr="00B459C8">
        <w:rPr>
          <w:rFonts w:ascii="Book Antiqua" w:hAnsi="Book Antiqua"/>
          <w:sz w:val="22"/>
          <w:szCs w:val="22"/>
          <w:shd w:val="clear" w:color="auto" w:fill="FFFFFF"/>
          <w:lang w:val="sv-SE"/>
        </w:rPr>
        <w:t xml:space="preserve"> </w:t>
      </w:r>
      <w:r w:rsidRPr="00B459C8">
        <w:rPr>
          <w:rFonts w:ascii="Book Antiqua" w:hAnsi="Book Antiqua"/>
          <w:i/>
          <w:iCs/>
          <w:sz w:val="22"/>
          <w:szCs w:val="22"/>
          <w:shd w:val="clear" w:color="auto" w:fill="FFFFFF"/>
          <w:lang w:val="sv-SE"/>
        </w:rPr>
        <w:t>standar sarana prasarana, regulasi pendidikan, manajemen pendidikan</w:t>
      </w:r>
    </w:p>
    <w:p w14:paraId="31C7D99A" w14:textId="77777777" w:rsidR="004321C7" w:rsidRPr="00310CF9" w:rsidRDefault="004321C7" w:rsidP="004321C7">
      <w:pPr>
        <w:autoSpaceDE w:val="0"/>
        <w:autoSpaceDN w:val="0"/>
        <w:adjustRightInd w:val="0"/>
        <w:jc w:val="center"/>
        <w:rPr>
          <w:rFonts w:ascii="Book Antiqua" w:hAnsi="Book Antiqua"/>
          <w:b/>
          <w:bCs/>
          <w:sz w:val="22"/>
          <w:szCs w:val="22"/>
          <w:lang w:val="id-ID"/>
        </w:rPr>
      </w:pPr>
    </w:p>
    <w:p w14:paraId="3DB62911" w14:textId="09161F85" w:rsidR="00B459C8" w:rsidRPr="00310CF9" w:rsidRDefault="00EA6C88" w:rsidP="00103344">
      <w:pPr>
        <w:autoSpaceDE w:val="0"/>
        <w:autoSpaceDN w:val="0"/>
        <w:adjustRightInd w:val="0"/>
        <w:jc w:val="center"/>
        <w:rPr>
          <w:rFonts w:ascii="Book Antiqua" w:hAnsi="Book Antiqua"/>
          <w:b/>
          <w:bCs/>
          <w:sz w:val="22"/>
          <w:szCs w:val="22"/>
          <w:lang w:val="id-ID"/>
        </w:rPr>
      </w:pPr>
      <w:r w:rsidRPr="00200A06">
        <w:rPr>
          <w:rFonts w:ascii="Book Antiqua" w:hAnsi="Book Antiqua"/>
          <w:b/>
          <w:bCs/>
          <w:sz w:val="22"/>
          <w:szCs w:val="22"/>
          <w:lang w:val="sv-SE"/>
        </w:rPr>
        <w:t>Abstra</w:t>
      </w:r>
      <w:r w:rsidRPr="00310CF9">
        <w:rPr>
          <w:rFonts w:ascii="Book Antiqua" w:hAnsi="Book Antiqua"/>
          <w:b/>
          <w:bCs/>
          <w:sz w:val="22"/>
          <w:szCs w:val="22"/>
          <w:lang w:val="id-ID"/>
        </w:rPr>
        <w:t>ct</w:t>
      </w:r>
    </w:p>
    <w:p w14:paraId="21B04A72" w14:textId="77777777" w:rsidR="00B459C8" w:rsidRDefault="00B459C8" w:rsidP="00B459C8">
      <w:pPr>
        <w:jc w:val="both"/>
        <w:rPr>
          <w:rFonts w:ascii="Book Antiqua" w:eastAsia="Arial" w:hAnsi="Book Antiqua"/>
          <w:spacing w:val="2"/>
          <w:sz w:val="22"/>
          <w:szCs w:val="22"/>
          <w:lang w:val="en-ID"/>
        </w:rPr>
      </w:pPr>
      <w:r w:rsidRPr="00B459C8">
        <w:rPr>
          <w:rFonts w:ascii="Book Antiqua" w:eastAsia="Arial" w:hAnsi="Book Antiqua"/>
          <w:spacing w:val="2"/>
          <w:sz w:val="22"/>
          <w:szCs w:val="22"/>
          <w:lang w:val="en-ID"/>
        </w:rPr>
        <w:t xml:space="preserve">This study aims to describe the standardization and regulation of educational infrastructure and its relevance to job demands within the context of educational management. Infrastructure plays a crucial role in ensuring the success of learning processes, requiring clear standards and effective regulations for optimal management. This research employs a qualitative approach using library research methods, analyzing government regulations, scholarly articles, and literature related to educational infrastructure management. The findings indicate that government regulations such as Government Regulation No. 19 of 2005, Ministry of Education Regulation No. 24 of 2007, and Ministry of Education and Culture Regulation No. 127 of 2014 establish minimum standards for educational infrastructure. However, their implementation in the field remains challenging. In addition, supporting regulations from other ministries further reinforce infrastructure management in both educational institutions and government agencies. The study concludes that the standardization and regulation of educational infrastructure must be continuously developed to align with the evolving needs of modern education. It is </w:t>
      </w:r>
      <w:r w:rsidRPr="00B459C8">
        <w:rPr>
          <w:rFonts w:ascii="Book Antiqua" w:eastAsia="Arial" w:hAnsi="Book Antiqua"/>
          <w:spacing w:val="2"/>
          <w:sz w:val="22"/>
          <w:szCs w:val="22"/>
          <w:lang w:val="en-ID"/>
        </w:rPr>
        <w:lastRenderedPageBreak/>
        <w:t>recommended that periodic evaluations of these regulations be conducted, along with strengthened infrastructure management at every educational unit.</w:t>
      </w:r>
    </w:p>
    <w:p w14:paraId="4C247220" w14:textId="77777777" w:rsidR="00103344" w:rsidRPr="00B459C8" w:rsidRDefault="00103344" w:rsidP="00B459C8">
      <w:pPr>
        <w:jc w:val="both"/>
        <w:rPr>
          <w:rFonts w:ascii="Book Antiqua" w:eastAsia="Arial" w:hAnsi="Book Antiqua"/>
          <w:spacing w:val="2"/>
          <w:sz w:val="22"/>
          <w:szCs w:val="22"/>
          <w:lang w:val="en-ID"/>
        </w:rPr>
      </w:pPr>
    </w:p>
    <w:p w14:paraId="0324B396" w14:textId="790C109C" w:rsidR="00B459C8" w:rsidRPr="00B459C8" w:rsidRDefault="00B459C8" w:rsidP="00B459C8">
      <w:pPr>
        <w:jc w:val="both"/>
        <w:rPr>
          <w:rFonts w:ascii="Book Antiqua" w:eastAsia="Arial" w:hAnsi="Book Antiqua"/>
          <w:spacing w:val="2"/>
          <w:sz w:val="22"/>
          <w:szCs w:val="22"/>
          <w:lang w:val="en-ID"/>
        </w:rPr>
      </w:pPr>
      <w:r w:rsidRPr="00B459C8">
        <w:rPr>
          <w:rFonts w:ascii="Book Antiqua" w:eastAsia="Arial" w:hAnsi="Book Antiqua"/>
          <w:b/>
          <w:bCs/>
          <w:spacing w:val="2"/>
          <w:sz w:val="22"/>
          <w:szCs w:val="22"/>
          <w:lang w:val="en-ID"/>
        </w:rPr>
        <w:t>Keywords:</w:t>
      </w:r>
      <w:r w:rsidRPr="00B459C8">
        <w:rPr>
          <w:rFonts w:ascii="Book Antiqua" w:eastAsia="Arial" w:hAnsi="Book Antiqua"/>
          <w:spacing w:val="2"/>
          <w:sz w:val="22"/>
          <w:szCs w:val="22"/>
          <w:lang w:val="en-ID"/>
        </w:rPr>
        <w:t xml:space="preserve"> </w:t>
      </w:r>
      <w:r w:rsidRPr="00B459C8">
        <w:rPr>
          <w:rFonts w:ascii="Book Antiqua" w:eastAsia="Arial" w:hAnsi="Book Antiqua"/>
          <w:i/>
          <w:iCs/>
          <w:spacing w:val="2"/>
          <w:sz w:val="22"/>
          <w:szCs w:val="22"/>
          <w:lang w:val="en-ID"/>
        </w:rPr>
        <w:t>educational infrastructure standards, regulation, educational management</w:t>
      </w:r>
    </w:p>
    <w:p w14:paraId="0137C4BF" w14:textId="77777777" w:rsidR="004C175D" w:rsidRPr="00310CF9" w:rsidRDefault="004C175D" w:rsidP="004C175D">
      <w:pPr>
        <w:ind w:left="1134" w:hanging="1134"/>
        <w:jc w:val="both"/>
        <w:rPr>
          <w:rFonts w:ascii="Book Antiqua" w:eastAsia="Arial" w:hAnsi="Book Antiqua"/>
          <w:spacing w:val="2"/>
          <w:sz w:val="22"/>
          <w:szCs w:val="22"/>
          <w:lang w:val="id-ID"/>
        </w:rPr>
      </w:pPr>
    </w:p>
    <w:p w14:paraId="0FA6E711" w14:textId="68E1322D" w:rsidR="0007735B" w:rsidRPr="00F93539" w:rsidRDefault="00A16093" w:rsidP="00F93539">
      <w:pPr>
        <w:rPr>
          <w:rFonts w:ascii="Book Antiqua" w:hAnsi="Book Antiqua"/>
          <w:b/>
          <w:bCs/>
          <w:sz w:val="22"/>
          <w:szCs w:val="22"/>
          <w:lang w:val="id-ID"/>
        </w:rPr>
      </w:pPr>
      <w:r w:rsidRPr="004D64E4">
        <w:rPr>
          <w:rFonts w:ascii="Book Antiqua" w:eastAsia="Arial" w:hAnsi="Book Antiqua"/>
          <w:b/>
          <w:spacing w:val="2"/>
          <w:sz w:val="22"/>
          <w:szCs w:val="22"/>
          <w:lang w:val="sv-SE"/>
        </w:rPr>
        <w:t>PE</w:t>
      </w:r>
      <w:r w:rsidRPr="004D64E4">
        <w:rPr>
          <w:rFonts w:ascii="Book Antiqua" w:eastAsia="Arial" w:hAnsi="Book Antiqua"/>
          <w:b/>
          <w:spacing w:val="-6"/>
          <w:sz w:val="22"/>
          <w:szCs w:val="22"/>
          <w:lang w:val="sv-SE"/>
        </w:rPr>
        <w:t>N</w:t>
      </w:r>
      <w:r w:rsidRPr="004D64E4">
        <w:rPr>
          <w:rFonts w:ascii="Book Antiqua" w:eastAsia="Arial" w:hAnsi="Book Antiqua"/>
          <w:b/>
          <w:spacing w:val="4"/>
          <w:sz w:val="22"/>
          <w:szCs w:val="22"/>
          <w:lang w:val="sv-SE"/>
        </w:rPr>
        <w:t>D</w:t>
      </w:r>
      <w:r w:rsidRPr="004D64E4">
        <w:rPr>
          <w:rFonts w:ascii="Book Antiqua" w:eastAsia="Arial" w:hAnsi="Book Antiqua"/>
          <w:b/>
          <w:spacing w:val="-6"/>
          <w:sz w:val="22"/>
          <w:szCs w:val="22"/>
          <w:lang w:val="sv-SE"/>
        </w:rPr>
        <w:t>A</w:t>
      </w:r>
      <w:r w:rsidRPr="004D64E4">
        <w:rPr>
          <w:rFonts w:ascii="Book Antiqua" w:eastAsia="Arial" w:hAnsi="Book Antiqua"/>
          <w:b/>
          <w:spacing w:val="-1"/>
          <w:sz w:val="22"/>
          <w:szCs w:val="22"/>
          <w:lang w:val="sv-SE"/>
        </w:rPr>
        <w:t>HU</w:t>
      </w:r>
      <w:r w:rsidRPr="004D64E4">
        <w:rPr>
          <w:rFonts w:ascii="Book Antiqua" w:eastAsia="Arial" w:hAnsi="Book Antiqua"/>
          <w:b/>
          <w:spacing w:val="4"/>
          <w:sz w:val="22"/>
          <w:szCs w:val="22"/>
          <w:lang w:val="sv-SE"/>
        </w:rPr>
        <w:t>L</w:t>
      </w:r>
      <w:r w:rsidRPr="004D64E4">
        <w:rPr>
          <w:rFonts w:ascii="Book Antiqua" w:eastAsia="Arial" w:hAnsi="Book Antiqua"/>
          <w:b/>
          <w:spacing w:val="-1"/>
          <w:sz w:val="22"/>
          <w:szCs w:val="22"/>
          <w:lang w:val="sv-SE"/>
        </w:rPr>
        <w:t>U</w:t>
      </w:r>
      <w:r w:rsidRPr="004D64E4">
        <w:rPr>
          <w:rFonts w:ascii="Book Antiqua" w:eastAsia="Arial" w:hAnsi="Book Antiqua"/>
          <w:b/>
          <w:spacing w:val="-6"/>
          <w:sz w:val="22"/>
          <w:szCs w:val="22"/>
          <w:lang w:val="sv-SE"/>
        </w:rPr>
        <w:t>A</w:t>
      </w:r>
      <w:r w:rsidRPr="004D64E4">
        <w:rPr>
          <w:rFonts w:ascii="Book Antiqua" w:eastAsia="Arial" w:hAnsi="Book Antiqua"/>
          <w:b/>
          <w:sz w:val="22"/>
          <w:szCs w:val="22"/>
          <w:lang w:val="sv-SE"/>
        </w:rPr>
        <w:t>N</w:t>
      </w:r>
      <w:r w:rsidR="000631B3" w:rsidRPr="004D64E4">
        <w:rPr>
          <w:rFonts w:ascii="Book Antiqua" w:eastAsia="Arial" w:hAnsi="Book Antiqua"/>
          <w:b/>
          <w:sz w:val="22"/>
          <w:szCs w:val="22"/>
          <w:lang w:val="sv-SE"/>
        </w:rPr>
        <w:t xml:space="preserve"> </w:t>
      </w:r>
    </w:p>
    <w:p w14:paraId="666E3336" w14:textId="33231B58" w:rsidR="004D64E4" w:rsidRPr="004D64E4" w:rsidRDefault="004D64E4" w:rsidP="00103344">
      <w:pPr>
        <w:ind w:right="-38" w:firstLine="720"/>
        <w:jc w:val="both"/>
        <w:rPr>
          <w:rFonts w:ascii="Book Antiqua" w:hAnsi="Book Antiqua"/>
          <w:sz w:val="22"/>
          <w:szCs w:val="22"/>
          <w:lang w:val="sv-SE"/>
        </w:rPr>
      </w:pPr>
      <w:r w:rsidRPr="004D64E4">
        <w:rPr>
          <w:rFonts w:ascii="Book Antiqua" w:hAnsi="Book Antiqua"/>
          <w:sz w:val="22"/>
          <w:szCs w:val="22"/>
          <w:lang w:val="sv-SE"/>
        </w:rPr>
        <w:t>Pendidikan merupakan faktor fundamental dalam menentukan kualitas suatu bangsa. Keberhasilan pendidikan tidak hanya bergantung pada kurikulum dan tenaga pendidik, tetapi juga pada ketersediaan sarana dan prasarana yang memadai sebagai penunjang kegiatan belajar mengajar.</w:t>
      </w:r>
      <w:r>
        <w:rPr>
          <w:rFonts w:ascii="Book Antiqua" w:hAnsi="Book Antiqua"/>
          <w:sz w:val="22"/>
          <w:szCs w:val="22"/>
          <w:lang w:val="sv-SE"/>
        </w:rPr>
        <w:t xml:space="preserve"> </w:t>
      </w:r>
      <w:r>
        <w:rPr>
          <w:rFonts w:ascii="Book Antiqua" w:hAnsi="Book Antiqua"/>
          <w:sz w:val="22"/>
          <w:szCs w:val="22"/>
          <w:lang w:val="sv-SE"/>
        </w:rPr>
        <w:fldChar w:fldCharType="begin" w:fldLock="1"/>
      </w:r>
      <w:r>
        <w:rPr>
          <w:rFonts w:ascii="Book Antiqua" w:hAnsi="Book Antiqua"/>
          <w:sz w:val="22"/>
          <w:szCs w:val="22"/>
          <w:lang w:val="sv-SE"/>
        </w:rPr>
        <w:instrText>ADDIN CSL_CITATION {"citationItems":[{"id":"ITEM-1","itemData":{"DOI":"10.12928/ijemi.v1i1.1516","abstract":"Facilities and infrastructures in education are essential to improve the quality of the teaching and learning process in schools. Principals are responsible for managing facilities and infrastructures in schools. The implementation of learning to teach in schools will be subjected to obstacles when facilities and infrastructure are inadequate. The purpose of this research is 1) describing the importance of facilities and infrastructure in improving the quality of learning, 2) Knowing how to plan, manage, use and maintenance of facilities and infrastructure in schools, 3) indicators Management of good infrastructure for the improvement of School quality 4) school readiness in preparing facilities and infrastructure to support learning in the 4.0 era. The case study used in MTS Muhammadiyah Sidomulyo. The research used in this research is descriptive qualitative research. Data collection techniques using interviews, observation, and documentation. The results of the research show that the headmaster is planning in fulfilling facilities and infrastructure tailored to the level of needs each year. The planning will be known as management indicators of any infrastructure which is a good or most significant influence on the improvement of the quality of the school. Precisely the use of facilities and infrastructure can improve the quality of learning in Mts Muhammadiyah Sidomulyo. Damaged facilities and infrastructure will be given repairs. If no longer repaired, the school will apply for new procurement. All parties in the school must maintain existing facilities, and infrastructures to improve the quality of learning.","author":[{"dropping-particle":"","family":"Siswanto","given":"Edy","non-dropping-particle":"","parse-names":false,"suffix":""},{"dropping-particle":"","family":"Hidayati","given":"Dian","non-dropping-particle":"","parse-names":false,"suffix":""}],"container-title":"International Journal of Educational Management and Innovation","id":"ITEM-1","issue":"1","issued":{"date-parts":[["2020"]]},"page":"69","title":"Management Indicators of Good Infrastructure Facilities To Improve School Quality","type":"article-journal","volume":"1"},"uris":["http://www.mendeley.com/documents/?uuid=b48a3a06-aaef-40e8-8de2-24013b68418c"]}],"mendeley":{"formattedCitation":"(Siswanto &amp; Hidayati, 2020)","plainTextFormattedCitation":"(Siswanto &amp; Hidayati, 2020)","previouslyFormattedCitation":"(Siswanto &amp; Hidayati, 2020)"},"properties":{"noteIndex":0},"schema":"https://github.com/citation-style-language/schema/raw/master/csl-citation.json"}</w:instrText>
      </w:r>
      <w:r>
        <w:rPr>
          <w:rFonts w:ascii="Book Antiqua" w:hAnsi="Book Antiqua"/>
          <w:sz w:val="22"/>
          <w:szCs w:val="22"/>
          <w:lang w:val="sv-SE"/>
        </w:rPr>
        <w:fldChar w:fldCharType="separate"/>
      </w:r>
      <w:r w:rsidRPr="004D64E4">
        <w:rPr>
          <w:rFonts w:ascii="Book Antiqua" w:hAnsi="Book Antiqua"/>
          <w:noProof/>
          <w:sz w:val="22"/>
          <w:szCs w:val="22"/>
          <w:lang w:val="sv-SE"/>
        </w:rPr>
        <w:t>(Siswanto &amp; Hidayati, 2020)</w:t>
      </w:r>
      <w:r>
        <w:rPr>
          <w:rFonts w:ascii="Book Antiqua" w:hAnsi="Book Antiqua"/>
          <w:sz w:val="22"/>
          <w:szCs w:val="22"/>
          <w:lang w:val="sv-SE"/>
        </w:rPr>
        <w:fldChar w:fldCharType="end"/>
      </w:r>
      <w:r w:rsidRPr="004D64E4">
        <w:rPr>
          <w:rFonts w:ascii="Book Antiqua" w:hAnsi="Book Antiqua"/>
          <w:sz w:val="22"/>
          <w:szCs w:val="22"/>
          <w:lang w:val="sv-SE"/>
        </w:rPr>
        <w:t xml:space="preserve"> menegaskan bahwa sekolah dengan infrastruktur lengkap cenderung memiliki kualitas pembelajaran yang lebih baik. Hal ini menunjukkan bahwa pengelolaan sarana dan prasarana bukan sekadar kebutuhan administratif, melainkan menjadi indikator penting dalam mutu pendidikan. </w:t>
      </w:r>
      <w:r>
        <w:rPr>
          <w:rFonts w:ascii="Book Antiqua" w:hAnsi="Book Antiqua"/>
          <w:sz w:val="22"/>
          <w:szCs w:val="22"/>
          <w:lang w:val="sv-SE"/>
        </w:rPr>
        <w:t>P</w:t>
      </w:r>
      <w:r w:rsidRPr="004D64E4">
        <w:rPr>
          <w:rFonts w:ascii="Book Antiqua" w:hAnsi="Book Antiqua"/>
          <w:sz w:val="22"/>
          <w:szCs w:val="22"/>
          <w:lang w:val="sv-SE"/>
        </w:rPr>
        <w:t>oin ini sangat relevan untuk konteks Indonesia, di mana kualitas sarana prasarana antar sekolah masih sangat bervariasi.</w:t>
      </w:r>
    </w:p>
    <w:p w14:paraId="2CAF9980" w14:textId="33198BDC" w:rsidR="004D64E4" w:rsidRPr="004D64E4" w:rsidRDefault="004D64E4" w:rsidP="00103344">
      <w:pPr>
        <w:ind w:right="-38" w:firstLine="720"/>
        <w:jc w:val="both"/>
        <w:rPr>
          <w:rFonts w:ascii="Book Antiqua" w:hAnsi="Book Antiqua"/>
          <w:sz w:val="22"/>
          <w:szCs w:val="22"/>
          <w:lang w:val="sv-SE"/>
        </w:rPr>
      </w:pPr>
      <w:r w:rsidRPr="004D64E4">
        <w:rPr>
          <w:rFonts w:ascii="Book Antiqua" w:hAnsi="Book Antiqua"/>
          <w:sz w:val="22"/>
          <w:szCs w:val="22"/>
          <w:lang w:val="sv-SE"/>
        </w:rPr>
        <w:t xml:space="preserve">Secara regulatif, pemerintah Indonesia telah mengatur standar minimal sarana dan prasarana pendidikan melalui berbagai kebijakan, mulai dari PP No. 19 Tahun 2005, Permendiknas No. 24 Tahun 2007, hingga Permendikbud No. 127 Tahun 2014. Regulasi tersebut menegaskan bahwa setiap satuan pendidikan harus memenuhi kriteria minimal agar proses pembelajaran berjalan efektif </w:t>
      </w:r>
      <w:r>
        <w:rPr>
          <w:rFonts w:ascii="Book Antiqua" w:hAnsi="Book Antiqua"/>
          <w:sz w:val="22"/>
          <w:szCs w:val="22"/>
          <w:lang w:val="sv-SE"/>
        </w:rPr>
        <w:fldChar w:fldCharType="begin" w:fldLock="1"/>
      </w:r>
      <w:r>
        <w:rPr>
          <w:rFonts w:ascii="Book Antiqua" w:hAnsi="Book Antiqua"/>
          <w:sz w:val="22"/>
          <w:szCs w:val="22"/>
          <w:lang w:val="sv-SE"/>
        </w:rPr>
        <w:instrText>ADDIN CSL_CITATION {"citationItems":[{"id":"ITEM-1","itemData":{"DOI":"10.60084/jeml.v2i1.169","abstract":"This qualitative study explores the management of facilities and infrastructure at two junior high schools in Southwest Aceh Regency, Indonesia (SMP Negeri 1 Susoh and SMP Negeri 2 Susoh) and examines its impact on learning quality. The research methodology includes observations, structured interviews, and documentation to collect data from key stakeholders such as principals, deputy principals, and teachers. The findings emphasize the critical role of detailed planning and collaboration among teachers, principals, and school development teams in aligning facility needs with curriculum requirements. Efficient use, storage, maintenance, and care of educational assets are essential for maximizing their functionality and longevity. The study also highlights the importance of comprehensive inventory management that adheres to regulatory guidelines to ensure effective resource control and supervision. However, the schools face challenges including limited land availability, insufficient funding, human resource constraints, and inadequate government support, which impede their ability to provide well-rounded learning environments. The study points out the necessity for ongoing improvement efforts by principals to adapt educational facilities to evolving educational demands. It recommends prioritizing investments in facilities, staff training, and policy enhancements to address these challenges and foster comprehensive educational development. Future research should assess the effectiveness of these management practices in various contexts and their long-term impact on student outcomes.","author":[{"dropping-particle":"","family":"Istakri","given":"Dedi","non-dropping-particle":"","parse-names":false,"suffix":""},{"dropping-particle":"","family":"Sofyan","given":"Hizir","non-dropping-particle":"","parse-names":false,"suffix":""},{"dropping-particle":"","family":"Ismail","given":"Ismail","non-dropping-particle":"","parse-names":false,"suffix":""}],"container-title":"Journal of Educational Management and Learning","id":"ITEM-1","issue":"1","issued":{"date-parts":[["2024"]]},"page":"20-27","title":"Infrastructure Management for Improved Learning Outcomes: Insights from Junior High Schools in Southwest Aceh, Indonesia","type":"article-journal","volume":"2"},"uris":["http://www.mendeley.com/documents/?uuid=b846109b-0647-4dd2-8a3f-6ef53371025e"]}],"mendeley":{"formattedCitation":"(Istakri et al., 2024)","plainTextFormattedCitation":"(Istakri et al., 2024)","previouslyFormattedCitation":"(Istakri et al., 2024)"},"properties":{"noteIndex":0},"schema":"https://github.com/citation-style-language/schema/raw/master/csl-citation.json"}</w:instrText>
      </w:r>
      <w:r>
        <w:rPr>
          <w:rFonts w:ascii="Book Antiqua" w:hAnsi="Book Antiqua"/>
          <w:sz w:val="22"/>
          <w:szCs w:val="22"/>
          <w:lang w:val="sv-SE"/>
        </w:rPr>
        <w:fldChar w:fldCharType="separate"/>
      </w:r>
      <w:r w:rsidRPr="004D64E4">
        <w:rPr>
          <w:rFonts w:ascii="Book Antiqua" w:hAnsi="Book Antiqua"/>
          <w:noProof/>
          <w:sz w:val="22"/>
          <w:szCs w:val="22"/>
          <w:lang w:val="sv-SE"/>
        </w:rPr>
        <w:t>(Istakri et al., 2024)</w:t>
      </w:r>
      <w:r>
        <w:rPr>
          <w:rFonts w:ascii="Book Antiqua" w:hAnsi="Book Antiqua"/>
          <w:sz w:val="22"/>
          <w:szCs w:val="22"/>
          <w:lang w:val="sv-SE"/>
        </w:rPr>
        <w:fldChar w:fldCharType="end"/>
      </w:r>
      <w:r w:rsidRPr="004D64E4">
        <w:rPr>
          <w:rFonts w:ascii="Book Antiqua" w:hAnsi="Book Antiqua"/>
          <w:sz w:val="22"/>
          <w:szCs w:val="22"/>
          <w:lang w:val="sv-SE"/>
        </w:rPr>
        <w:t xml:space="preserve">. Dari regulasi ini </w:t>
      </w:r>
      <w:r>
        <w:rPr>
          <w:rFonts w:ascii="Book Antiqua" w:hAnsi="Book Antiqua"/>
          <w:sz w:val="22"/>
          <w:szCs w:val="22"/>
          <w:lang w:val="sv-SE"/>
        </w:rPr>
        <w:t>dapat</w:t>
      </w:r>
      <w:r w:rsidRPr="004D64E4">
        <w:rPr>
          <w:rFonts w:ascii="Book Antiqua" w:hAnsi="Book Antiqua"/>
          <w:sz w:val="22"/>
          <w:szCs w:val="22"/>
          <w:lang w:val="sv-SE"/>
        </w:rPr>
        <w:t xml:space="preserve"> memahami bahwa pemerintah sudah memiliki landasan hukum yang jelas, namun implementasinya seringkali tidak sesuai dengan kondisi lapangan.</w:t>
      </w:r>
    </w:p>
    <w:p w14:paraId="171FEB86" w14:textId="4020FFE7" w:rsidR="004D64E4" w:rsidRPr="004D64E4" w:rsidRDefault="004D64E4" w:rsidP="00103344">
      <w:pPr>
        <w:ind w:right="-38" w:firstLine="720"/>
        <w:jc w:val="both"/>
        <w:rPr>
          <w:rFonts w:ascii="Book Antiqua" w:hAnsi="Book Antiqua"/>
          <w:sz w:val="22"/>
          <w:szCs w:val="22"/>
          <w:lang w:val="sv-SE"/>
        </w:rPr>
      </w:pPr>
      <w:r w:rsidRPr="004D64E4">
        <w:rPr>
          <w:rFonts w:ascii="Book Antiqua" w:hAnsi="Book Antiqua"/>
          <w:sz w:val="22"/>
          <w:szCs w:val="22"/>
          <w:lang w:val="sv-SE"/>
        </w:rPr>
        <w:t xml:space="preserve">Fakta di lapangan menunjukkan bahwa banyak sekolah, khususnya di daerah, belum mampu memenuhi standar nasional pendidikan akibat keterbatasan anggaran, ketimpangan wilayah, dan lemahnya manajemen fasilitas pendidikan </w:t>
      </w:r>
      <w:r>
        <w:rPr>
          <w:rFonts w:ascii="Book Antiqua" w:hAnsi="Book Antiqua"/>
          <w:sz w:val="22"/>
          <w:szCs w:val="22"/>
          <w:lang w:val="sv-SE"/>
        </w:rPr>
        <w:fldChar w:fldCharType="begin" w:fldLock="1"/>
      </w:r>
      <w:r>
        <w:rPr>
          <w:rFonts w:ascii="Book Antiqua" w:hAnsi="Book Antiqua"/>
          <w:sz w:val="22"/>
          <w:szCs w:val="22"/>
          <w:lang w:val="sv-SE"/>
        </w:rPr>
        <w:instrText>ADDIN CSL_CITATION {"citationItems":[{"id":"ITEM-1","itemData":{"DOI":"10.17512/znpcz.2021.2.05","ISSN":"20831560","abstract":"The education system in Indonesia has two main sub-systems, one under the management of the Ministry of Education and Culture (MoEC), and madrasah education and religious education under the management of the Ministry of Religious Affairs (MoRA). Out of approximately 233,517 state schools and madrasah, about 82% are state schools and the remaining 18% are madrasah; and out of 49,402,000 students from these institutions, 87% are registered in-state schools and other 13% are registered in madrasah. Indonesian laws and regulations require state schools and madrasah to be treated equally. Moreover, madrasah teaches the same national curriculum in addition to Islamic religious subjects regulated by MoRA. The author tried to define the current circumstance of Islamic education in Indonesia, the academic issues that the government faces and sought possible solutions for them through field surveys and data analysis methods used throughout the investigation. The found data show that improper infrastructure of government contribution towards public education including religious education, and limited quota in pedagogical universities lead to a shortage of teachers in rural areas. The government of Indonesia needs further educational reforms in the area of public education, teacher training, and re-training programs, and increasing teachers’ salaries. School dropouts, shortage of well-qualified teachers, and school fees challenge the national education system in the country.","author":[{"dropping-particle":"","family":"Shaturaev","given":"Jakhongir","non-dropping-particle":"","parse-names":false,"suffix":""}],"container-title":"Zeszyty Naukowe Politechniki Częstochowskiej Zarządzanie","id":"ITEM-1","issue":"1","issued":{"date-parts":[["2021"]]},"page":"57-65","title":"Financing and Management of Islamic (Madrasah) Education in Indonesia","type":"article-journal","volume":"42"},"uris":["http://www.mendeley.com/documents/?uuid=647babd9-e5c0-4b96-91b7-62d8251e880f"]}],"mendeley":{"formattedCitation":"(Shaturaev, 2021)","plainTextFormattedCitation":"(Shaturaev, 2021)","previouslyFormattedCitation":"(Shaturaev, 2021)"},"properties":{"noteIndex":0},"schema":"https://github.com/citation-style-language/schema/raw/master/csl-citation.json"}</w:instrText>
      </w:r>
      <w:r>
        <w:rPr>
          <w:rFonts w:ascii="Book Antiqua" w:hAnsi="Book Antiqua"/>
          <w:sz w:val="22"/>
          <w:szCs w:val="22"/>
          <w:lang w:val="sv-SE"/>
        </w:rPr>
        <w:fldChar w:fldCharType="separate"/>
      </w:r>
      <w:r w:rsidRPr="004D64E4">
        <w:rPr>
          <w:rFonts w:ascii="Book Antiqua" w:hAnsi="Book Antiqua"/>
          <w:noProof/>
          <w:sz w:val="22"/>
          <w:szCs w:val="22"/>
          <w:lang w:val="sv-SE"/>
        </w:rPr>
        <w:t>(Shaturaev, 2021)</w:t>
      </w:r>
      <w:r>
        <w:rPr>
          <w:rFonts w:ascii="Book Antiqua" w:hAnsi="Book Antiqua"/>
          <w:sz w:val="22"/>
          <w:szCs w:val="22"/>
          <w:lang w:val="sv-SE"/>
        </w:rPr>
        <w:fldChar w:fldCharType="end"/>
      </w:r>
      <w:r w:rsidRPr="004D64E4">
        <w:rPr>
          <w:rFonts w:ascii="Book Antiqua" w:hAnsi="Book Antiqua"/>
          <w:sz w:val="22"/>
          <w:szCs w:val="22"/>
          <w:lang w:val="sv-SE"/>
        </w:rPr>
        <w:t xml:space="preserve">. </w:t>
      </w:r>
      <w:r>
        <w:rPr>
          <w:rFonts w:ascii="Book Antiqua" w:hAnsi="Book Antiqua"/>
          <w:sz w:val="22"/>
          <w:szCs w:val="22"/>
          <w:lang w:val="sv-SE"/>
        </w:rPr>
        <w:t>Temuan ini dapat</w:t>
      </w:r>
      <w:r w:rsidRPr="004D64E4">
        <w:rPr>
          <w:rFonts w:ascii="Book Antiqua" w:hAnsi="Book Antiqua"/>
          <w:sz w:val="22"/>
          <w:szCs w:val="22"/>
          <w:lang w:val="sv-SE"/>
        </w:rPr>
        <w:t xml:space="preserve"> </w:t>
      </w:r>
      <w:r>
        <w:rPr>
          <w:rFonts w:ascii="Book Antiqua" w:hAnsi="Book Antiqua"/>
          <w:sz w:val="22"/>
          <w:szCs w:val="22"/>
          <w:lang w:val="sv-SE"/>
        </w:rPr>
        <w:t xml:space="preserve">di </w:t>
      </w:r>
      <w:r w:rsidRPr="004D64E4">
        <w:rPr>
          <w:rFonts w:ascii="Book Antiqua" w:hAnsi="Book Antiqua"/>
          <w:sz w:val="22"/>
          <w:szCs w:val="22"/>
          <w:lang w:val="sv-SE"/>
        </w:rPr>
        <w:t>nilai bahwa masalah ini bukan hanya terkait pendanaan, tetapi juga bagaimana pihak sekolah dan pemerintah daerah mengelola sarana prasarana secara berkelanjutan.</w:t>
      </w:r>
      <w:r w:rsidR="00213E4A">
        <w:rPr>
          <w:rFonts w:ascii="Book Antiqua" w:hAnsi="Book Antiqua"/>
          <w:sz w:val="22"/>
          <w:szCs w:val="22"/>
          <w:lang w:val="sv-SE"/>
        </w:rPr>
        <w:t xml:space="preserve"> </w:t>
      </w:r>
      <w:r w:rsidRPr="004D64E4">
        <w:rPr>
          <w:rFonts w:ascii="Book Antiqua" w:hAnsi="Book Antiqua"/>
          <w:sz w:val="22"/>
          <w:szCs w:val="22"/>
          <w:lang w:val="sv-SE"/>
        </w:rPr>
        <w:t xml:space="preserve">Selain itu, desentralisasi pendidikan memberikan keleluasaan bagi sekolah untuk mengatur sarana prasarana sesuai kebutuhan. Namun, tidak semua sekolah memiliki kapasitas manajerial yang memadai dalam pengelolaan tersebut </w:t>
      </w:r>
      <w:r>
        <w:rPr>
          <w:rFonts w:ascii="Book Antiqua" w:hAnsi="Book Antiqua"/>
          <w:sz w:val="22"/>
          <w:szCs w:val="22"/>
          <w:lang w:val="sv-SE"/>
        </w:rPr>
        <w:fldChar w:fldCharType="begin" w:fldLock="1"/>
      </w:r>
      <w:r>
        <w:rPr>
          <w:rFonts w:ascii="Book Antiqua" w:hAnsi="Book Antiqua"/>
          <w:sz w:val="22"/>
          <w:szCs w:val="22"/>
          <w:lang w:val="sv-SE"/>
        </w:rPr>
        <w:instrText>ADDIN CSL_CITATION {"citationItems":[{"id":"ITEM-1","itemData":{"ISBN":"1031810323","ISSN":"2654-5497","abstract":"This study aim to describe the efforts made in meeting the standards of facilities and infrastructure in implementing school-based management in an Islamic school in East Kalimantan. The research also describes community empowerment in the school environment and describes the supporting and inhibiting factors in implementing school-based management in meeting the standards of facilities and infrastructure. The place that the writer used as the research object was at one of the Islamic schools located in Samarinda, East Kalimantan. The time that the author uses to conduct research is from September 2022 to October 2022. In this look at the writer makes use of a descriptive qualitative approach, that is, a examine aimed at describing and studying phenomena, events, social sports, attitudes, ideals, perceptions, humans's mind in my opinion or in agencies. More than one descriptions are used to locate ideas and reasons that cause conclusions. Implementation of School-Based Management in Compliance with Infrastructure Standards in schools has been well managed and in accordance with the basic needs of schools regarding compliance with infrastructure standards.","author":[{"dropping-particle":"","family":"Destari","given":"Dina","non-dropping-particle":"","parse-names":false,"suffix":""},{"dropping-particle":"","family":"Saufi","given":"M","non-dropping-particle":"","parse-names":false,"suffix":""},{"dropping-particle":"","family":"Arijanti","given":"Susi","non-dropping-particle":"","parse-names":false,"suffix":""},{"dropping-particle":"Al","family":"Haddar","given":"Gamar","non-dropping-particle":"","parse-names":false,"suffix":""},{"dropping-particle":"","family":"Kasmilawati","given":"Isna","non-dropping-particle":"","parse-names":false,"suffix":""}],"container-title":"Journal on Education","id":"ITEM-1","issue":"3","issued":{"date-parts":[["2023"]]},"page":"10318-10323","title":"The Implementation of School-Based Management in Supporting Standard of School Infrastructure and Facilities in Islamic Private School","type":"article-journal","volume":"5"},"uris":["http://www.mendeley.com/documents/?uuid=42f762d2-2d90-4350-85c8-04d2ef6cc738"]}],"mendeley":{"formattedCitation":"(Destari et al., 2023)","plainTextFormattedCitation":"(Destari et al., 2023)","previouslyFormattedCitation":"(Destari et al., 2023)"},"properties":{"noteIndex":0},"schema":"https://github.com/citation-style-language/schema/raw/master/csl-citation.json"}</w:instrText>
      </w:r>
      <w:r>
        <w:rPr>
          <w:rFonts w:ascii="Book Antiqua" w:hAnsi="Book Antiqua"/>
          <w:sz w:val="22"/>
          <w:szCs w:val="22"/>
          <w:lang w:val="sv-SE"/>
        </w:rPr>
        <w:fldChar w:fldCharType="separate"/>
      </w:r>
      <w:r w:rsidRPr="004D64E4">
        <w:rPr>
          <w:rFonts w:ascii="Book Antiqua" w:hAnsi="Book Antiqua"/>
          <w:noProof/>
          <w:sz w:val="22"/>
          <w:szCs w:val="22"/>
          <w:lang w:val="sv-SE"/>
        </w:rPr>
        <w:t>(Destari et al., 2023)</w:t>
      </w:r>
      <w:r>
        <w:rPr>
          <w:rFonts w:ascii="Book Antiqua" w:hAnsi="Book Antiqua"/>
          <w:sz w:val="22"/>
          <w:szCs w:val="22"/>
          <w:lang w:val="sv-SE"/>
        </w:rPr>
        <w:fldChar w:fldCharType="end"/>
      </w:r>
      <w:r w:rsidRPr="004D64E4">
        <w:rPr>
          <w:rFonts w:ascii="Book Antiqua" w:hAnsi="Book Antiqua"/>
          <w:sz w:val="22"/>
          <w:szCs w:val="22"/>
          <w:lang w:val="sv-SE"/>
        </w:rPr>
        <w:t>. Dari temuan ini</w:t>
      </w:r>
      <w:r w:rsidR="0029799C">
        <w:rPr>
          <w:rFonts w:ascii="Book Antiqua" w:hAnsi="Book Antiqua"/>
          <w:sz w:val="22"/>
          <w:szCs w:val="22"/>
          <w:lang w:val="sv-SE"/>
        </w:rPr>
        <w:t xml:space="preserve"> terlihat</w:t>
      </w:r>
      <w:r w:rsidRPr="004D64E4">
        <w:rPr>
          <w:rFonts w:ascii="Book Antiqua" w:hAnsi="Book Antiqua"/>
          <w:sz w:val="22"/>
          <w:szCs w:val="22"/>
          <w:lang w:val="sv-SE"/>
        </w:rPr>
        <w:t xml:space="preserve"> adanya kesenjangan antara kebijakan pemerintah yang mendorong otonomi sekolah dengan kemampuan riil sekolah dalam mengelola sarana prasarana.</w:t>
      </w:r>
    </w:p>
    <w:p w14:paraId="64F3A70F" w14:textId="495C7611" w:rsidR="004D64E4" w:rsidRPr="004D64E4" w:rsidRDefault="004D64E4" w:rsidP="00103344">
      <w:pPr>
        <w:ind w:right="-38" w:firstLine="720"/>
        <w:jc w:val="both"/>
        <w:rPr>
          <w:rFonts w:ascii="Book Antiqua" w:hAnsi="Book Antiqua"/>
          <w:sz w:val="22"/>
          <w:szCs w:val="22"/>
          <w:lang w:val="sv-SE"/>
        </w:rPr>
      </w:pPr>
      <w:r w:rsidRPr="004D64E4">
        <w:rPr>
          <w:rFonts w:ascii="Book Antiqua" w:hAnsi="Book Antiqua"/>
          <w:sz w:val="22"/>
          <w:szCs w:val="22"/>
          <w:lang w:val="sv-SE"/>
        </w:rPr>
        <w:t xml:space="preserve">Seiring dengan perkembangan teknologi, kebutuhan sarana prasarana juga semakin kompleks, misalnya pemanfaatan teknologi informasi untuk pembelajaran digital. </w:t>
      </w:r>
      <w:r>
        <w:rPr>
          <w:rFonts w:ascii="Book Antiqua" w:hAnsi="Book Antiqua"/>
          <w:sz w:val="22"/>
          <w:szCs w:val="22"/>
          <w:lang w:val="sv-SE"/>
        </w:rPr>
        <w:fldChar w:fldCharType="begin" w:fldLock="1"/>
      </w:r>
      <w:r w:rsidR="00C55475">
        <w:rPr>
          <w:rFonts w:ascii="Book Antiqua" w:hAnsi="Book Antiqua"/>
          <w:sz w:val="22"/>
          <w:szCs w:val="22"/>
          <w:lang w:val="sv-SE"/>
        </w:rPr>
        <w:instrText>ADDIN CSL_CITATION {"citationItems":[{"id":"ITEM-1","itemData":{"abstract":"A good and quality education system will produce quality human resources who can compete in the international world. Education is the main foundation in the formation of human resources so that it can strength then the resilience of the nation and state. However, it cannot be denied that the quality of education in Indonesia is still far from expectations when compared to other more developed countries. The results of the Political and Economic Risk Consultancy (PERC) survey conducted in 2000 regarding the quality of education in the Asian region, Indonesia was ranked 12th behind Vietnam. Based on the Human development index Ranking 2019, Indonesia is ranked 111 out of 189 countries. This article will present the problems faced in the world of higher education in Indonesia. Several factors that affect the level of education quality include curriculum, educational policies, educational facilities, application of information and communication technology in education, affordable education costs, education management, and human resources. So that the solution to the solution is to make efforts to improve the curriculum, educational facilities, and educational management.","author":[{"dropping-particle":"","family":"Pramana","given":"Cipta","non-dropping-particle":"","parse-names":false,"suffix":""},{"dropping-particle":"","family":"Chamidah","given":"Dina","non-dropping-particle":"","parse-names":false,"suffix":""},{"dropping-particle":"","family":"Suyatno","given":"Suyatno","non-dropping-particle":"","parse-names":false,"suffix":""},{"dropping-particle":"","family":"Renadi","given":"Faiza","non-dropping-particle":"","parse-names":false,"suffix":""},{"dropping-particle":"","family":"Syaharuddin","given":"Syaharuddin","non-dropping-particle":"","parse-names":false,"suffix":""}],"container-title":"Turkish Online Journal of Qualitative Inquiry (TOJQI)","id":"ITEM-1","issue":"3","issued":{"date-parts":[["2021"]]},"page":"1977- 1994","title":"Strategies to improved education quality in Indonesia: A review","type":"article-journal","volume":"12"},"uris":["http://www.mendeley.com/documents/?uuid=a8aeb3f0-bd12-417e-9f7b-6b1e31ffa6f3"]}],"mendeley":{"formattedCitation":"(Pramana et al., 2021)","plainTextFormattedCitation":"(Pramana et al., 2021)","previouslyFormattedCitation":"(Pramana et al., 2021)"},"properties":{"noteIndex":0},"schema":"https://github.com/citation-style-language/schema/raw/master/csl-citation.json"}</w:instrText>
      </w:r>
      <w:r>
        <w:rPr>
          <w:rFonts w:ascii="Book Antiqua" w:hAnsi="Book Antiqua"/>
          <w:sz w:val="22"/>
          <w:szCs w:val="22"/>
          <w:lang w:val="sv-SE"/>
        </w:rPr>
        <w:fldChar w:fldCharType="separate"/>
      </w:r>
      <w:r w:rsidRPr="004D64E4">
        <w:rPr>
          <w:rFonts w:ascii="Book Antiqua" w:hAnsi="Book Antiqua"/>
          <w:noProof/>
          <w:sz w:val="22"/>
          <w:szCs w:val="22"/>
          <w:lang w:val="sv-SE"/>
        </w:rPr>
        <w:t>(Pramana et al., 2021)</w:t>
      </w:r>
      <w:r>
        <w:rPr>
          <w:rFonts w:ascii="Book Antiqua" w:hAnsi="Book Antiqua"/>
          <w:sz w:val="22"/>
          <w:szCs w:val="22"/>
          <w:lang w:val="sv-SE"/>
        </w:rPr>
        <w:fldChar w:fldCharType="end"/>
      </w:r>
      <w:r w:rsidRPr="004D64E4">
        <w:rPr>
          <w:rFonts w:ascii="Book Antiqua" w:hAnsi="Book Antiqua"/>
          <w:sz w:val="22"/>
          <w:szCs w:val="22"/>
          <w:lang w:val="sv-SE"/>
        </w:rPr>
        <w:t xml:space="preserve"> menekankan bahwa peningkatan kualitas pendidikan di era modern tidak mungkin terlepas dari integrasi sarana prasarana berbasis teknologi. Dari sini </w:t>
      </w:r>
      <w:r w:rsidR="004337A7">
        <w:rPr>
          <w:rFonts w:ascii="Book Antiqua" w:hAnsi="Book Antiqua"/>
          <w:sz w:val="22"/>
          <w:szCs w:val="22"/>
          <w:lang w:val="sv-SE"/>
        </w:rPr>
        <w:t>dapat penulis p</w:t>
      </w:r>
      <w:r w:rsidRPr="004D64E4">
        <w:rPr>
          <w:rFonts w:ascii="Book Antiqua" w:hAnsi="Book Antiqua"/>
          <w:sz w:val="22"/>
          <w:szCs w:val="22"/>
          <w:lang w:val="sv-SE"/>
        </w:rPr>
        <w:t>ahami bahwa standar lama yang hanya menekankan kelengkapan fisik sudah tidak lagi cukup; dibutuhkan regulasi baru yang mampu menjawab tantangan pendidikan abad ke-21.</w:t>
      </w:r>
      <w:r w:rsidR="00BE4A2D">
        <w:rPr>
          <w:rFonts w:ascii="Book Antiqua" w:hAnsi="Book Antiqua"/>
          <w:sz w:val="22"/>
          <w:szCs w:val="22"/>
          <w:lang w:val="sv-SE"/>
        </w:rPr>
        <w:t xml:space="preserve"> </w:t>
      </w:r>
      <w:r w:rsidR="00BE4A2D">
        <w:rPr>
          <w:rFonts w:ascii="Book Antiqua" w:hAnsi="Book Antiqua"/>
          <w:sz w:val="22"/>
          <w:szCs w:val="22"/>
          <w:lang w:val="sv-SE"/>
        </w:rPr>
        <w:tab/>
      </w:r>
      <w:r w:rsidR="00BE4A2D">
        <w:rPr>
          <w:rFonts w:ascii="Book Antiqua" w:hAnsi="Book Antiqua"/>
          <w:sz w:val="22"/>
          <w:szCs w:val="22"/>
          <w:lang w:val="sv-SE"/>
        </w:rPr>
        <w:tab/>
      </w:r>
      <w:r w:rsidR="00BE4A2D">
        <w:rPr>
          <w:rFonts w:ascii="Book Antiqua" w:hAnsi="Book Antiqua"/>
          <w:sz w:val="22"/>
          <w:szCs w:val="22"/>
          <w:lang w:val="sv-SE"/>
        </w:rPr>
        <w:tab/>
      </w:r>
      <w:r w:rsidRPr="004D64E4">
        <w:rPr>
          <w:rFonts w:ascii="Book Antiqua" w:hAnsi="Book Antiqua"/>
          <w:sz w:val="22"/>
          <w:szCs w:val="22"/>
          <w:lang w:val="sv-SE"/>
        </w:rPr>
        <w:t xml:space="preserve">Berdasarkan uraian tersebut, meskipun sudah ada banyak regulasi terkait standar sarana prasarana, penelitian sebelumnya lebih banyak bersifat deskriptif dan normatif. Belum banyak kajian yang menganalisis </w:t>
      </w:r>
      <w:r w:rsidRPr="004D64E4">
        <w:rPr>
          <w:rFonts w:ascii="Book Antiqua" w:hAnsi="Book Antiqua"/>
          <w:i/>
          <w:iCs/>
          <w:sz w:val="22"/>
          <w:szCs w:val="22"/>
          <w:lang w:val="sv-SE"/>
        </w:rPr>
        <w:t>kesenjangan antara regulasi dan implementasi</w:t>
      </w:r>
      <w:r w:rsidRPr="004D64E4">
        <w:rPr>
          <w:rFonts w:ascii="Book Antiqua" w:hAnsi="Book Antiqua"/>
          <w:sz w:val="22"/>
          <w:szCs w:val="22"/>
          <w:lang w:val="sv-SE"/>
        </w:rPr>
        <w:t>, serta bagaimana regulasi tersebut dapat diadaptasi untuk menjawab kebutuhan modern, termasuk aspek digitalisasi pendidikan.</w:t>
      </w:r>
      <w:r w:rsidR="00BE4A2D">
        <w:rPr>
          <w:rFonts w:ascii="Book Antiqua" w:hAnsi="Book Antiqua"/>
          <w:sz w:val="22"/>
          <w:szCs w:val="22"/>
          <w:lang w:val="sv-SE"/>
        </w:rPr>
        <w:t xml:space="preserve"> </w:t>
      </w:r>
      <w:r w:rsidRPr="004D64E4">
        <w:rPr>
          <w:rFonts w:ascii="Book Antiqua" w:hAnsi="Book Antiqua"/>
          <w:sz w:val="22"/>
          <w:szCs w:val="22"/>
          <w:lang w:val="sv-SE"/>
        </w:rPr>
        <w:t>Oleh karena itu, penelitian ini bertujuan untuk menganalisis standarisasi dan regulasi sarana prasarana pendidikan dari perspektif manajemen, serta mengkaji relevansinya dengan tuntutan pendidikan di era modern. Dengan demikian, penelitian ini diharapkan dapat memberikan kontribusi teoritis dalam memperkuat kajian manajemen pendidikan, sekaligus memberikan rekomendasi praktis bagi pengambil kebijakan maupun pengelola sekolah.</w:t>
      </w:r>
    </w:p>
    <w:p w14:paraId="38FF20A3" w14:textId="77777777" w:rsidR="0007291B" w:rsidRDefault="0007291B" w:rsidP="00121E9F">
      <w:pPr>
        <w:spacing w:line="276" w:lineRule="auto"/>
        <w:ind w:right="-38"/>
        <w:jc w:val="both"/>
        <w:rPr>
          <w:rFonts w:ascii="Book Antiqua" w:hAnsi="Book Antiqua"/>
          <w:sz w:val="22"/>
          <w:szCs w:val="22"/>
          <w:lang w:val="sv-SE"/>
        </w:rPr>
      </w:pPr>
    </w:p>
    <w:p w14:paraId="12EAE8ED" w14:textId="77777777" w:rsidR="00103344" w:rsidRDefault="00103344" w:rsidP="00121E9F">
      <w:pPr>
        <w:spacing w:line="276" w:lineRule="auto"/>
        <w:ind w:right="-38"/>
        <w:jc w:val="both"/>
        <w:rPr>
          <w:rFonts w:ascii="Book Antiqua" w:hAnsi="Book Antiqua"/>
          <w:sz w:val="22"/>
          <w:szCs w:val="22"/>
          <w:lang w:val="sv-SE"/>
        </w:rPr>
      </w:pPr>
    </w:p>
    <w:p w14:paraId="58F6868A" w14:textId="77777777" w:rsidR="00103344" w:rsidRPr="0043692B" w:rsidRDefault="00103344" w:rsidP="00121E9F">
      <w:pPr>
        <w:spacing w:line="276" w:lineRule="auto"/>
        <w:ind w:right="-38"/>
        <w:jc w:val="both"/>
        <w:rPr>
          <w:rFonts w:ascii="Book Antiqua" w:hAnsi="Book Antiqua"/>
          <w:sz w:val="22"/>
          <w:szCs w:val="22"/>
          <w:lang w:val="sv-SE"/>
        </w:rPr>
      </w:pPr>
    </w:p>
    <w:p w14:paraId="04F3651C" w14:textId="6EA963B1" w:rsidR="00516612" w:rsidRPr="00F93539" w:rsidRDefault="00516612" w:rsidP="00121E9F">
      <w:pPr>
        <w:spacing w:line="276" w:lineRule="auto"/>
        <w:ind w:right="-40"/>
        <w:jc w:val="both"/>
        <w:rPr>
          <w:rFonts w:ascii="Book Antiqua" w:eastAsia="Arial" w:hAnsi="Book Antiqua"/>
          <w:sz w:val="22"/>
          <w:szCs w:val="22"/>
          <w:lang w:val="id-ID"/>
        </w:rPr>
      </w:pPr>
      <w:r w:rsidRPr="00F93539">
        <w:rPr>
          <w:rFonts w:ascii="Book Antiqua" w:hAnsi="Book Antiqua"/>
          <w:b/>
          <w:sz w:val="22"/>
          <w:szCs w:val="22"/>
          <w:lang w:val="id-ID"/>
        </w:rPr>
        <w:lastRenderedPageBreak/>
        <w:t>METOD</w:t>
      </w:r>
      <w:r w:rsidR="00192B99" w:rsidRPr="00F93539">
        <w:rPr>
          <w:rFonts w:ascii="Book Antiqua" w:hAnsi="Book Antiqua"/>
          <w:b/>
          <w:sz w:val="22"/>
          <w:szCs w:val="22"/>
          <w:lang w:val="id-ID"/>
        </w:rPr>
        <w:t>E</w:t>
      </w:r>
    </w:p>
    <w:p w14:paraId="37F8290C" w14:textId="700B1D57" w:rsidR="00E00C01" w:rsidRPr="00E00C01" w:rsidRDefault="00E00C01" w:rsidP="00E00C01">
      <w:pPr>
        <w:spacing w:line="276" w:lineRule="auto"/>
        <w:ind w:firstLine="720"/>
        <w:jc w:val="both"/>
        <w:rPr>
          <w:rFonts w:ascii="Book Antiqua" w:hAnsi="Book Antiqua"/>
          <w:sz w:val="22"/>
          <w:szCs w:val="22"/>
          <w:lang w:val="sv-SE"/>
        </w:rPr>
      </w:pPr>
      <w:r w:rsidRPr="00E00C01">
        <w:rPr>
          <w:rFonts w:ascii="Book Antiqua" w:hAnsi="Book Antiqua"/>
          <w:sz w:val="22"/>
          <w:szCs w:val="22"/>
          <w:lang w:val="sv-SE"/>
        </w:rPr>
        <w:t>Penelitian ini menggunakan pendekatan kualitatif dengan jenis penelitian pustaka (</w:t>
      </w:r>
      <w:r w:rsidRPr="00E00C01">
        <w:rPr>
          <w:rFonts w:ascii="Book Antiqua" w:hAnsi="Book Antiqua"/>
          <w:i/>
          <w:iCs/>
          <w:sz w:val="22"/>
          <w:szCs w:val="22"/>
          <w:lang w:val="sv-SE"/>
        </w:rPr>
        <w:t>library research</w:t>
      </w:r>
      <w:r w:rsidRPr="00E00C01">
        <w:rPr>
          <w:rFonts w:ascii="Book Antiqua" w:hAnsi="Book Antiqua"/>
          <w:sz w:val="22"/>
          <w:szCs w:val="22"/>
          <w:lang w:val="sv-SE"/>
        </w:rPr>
        <w:t xml:space="preserve">). Penelitian kualitatif dipilih karena fokus kajian adalah memahami fenomena secara mendalam melalui penelaahan dokumen dan literatur yang relevan, bukan melalui eksperimen atau survei lapangan. Menurut </w:t>
      </w:r>
      <w:r w:rsidR="00C55475">
        <w:rPr>
          <w:rFonts w:ascii="Book Antiqua" w:hAnsi="Book Antiqua"/>
          <w:sz w:val="22"/>
          <w:szCs w:val="22"/>
          <w:lang w:val="sv-SE"/>
        </w:rPr>
        <w:fldChar w:fldCharType="begin" w:fldLock="1"/>
      </w:r>
      <w:r w:rsidR="009D4221">
        <w:rPr>
          <w:rFonts w:ascii="Book Antiqua" w:hAnsi="Book Antiqua"/>
          <w:sz w:val="22"/>
          <w:szCs w:val="22"/>
          <w:lang w:val="sv-SE"/>
        </w:rPr>
        <w:instrText>ADDIN CSL_CITATION {"citationItems":[{"id":"ITEM-1","itemData":{"author":[{"dropping-particle":"","family":"W.","given":"CreswellJohn","non-dropping-particle":"","parse-names":false,"suffix":""}],"id":"ITEM-1","issued":{"date-parts":[["2016"]]},"publisher":"Pustaka Pelajar","title":"Research Design: Pendekatan Kualitatif, Kuantitatif, dan Mixed","type":"article"},"uris":["http://www.mendeley.com/documents/?uuid=66e8d0a9-2f22-423c-8785-ee97b4be8a94"]}],"mendeley":{"formattedCitation":"(W., 2016)","manualFormatting":"(Creswell., 2016)","plainTextFormattedCitation":"(W., 2016)","previouslyFormattedCitation":"(W., 2016)"},"properties":{"noteIndex":0},"schema":"https://github.com/citation-style-language/schema/raw/master/csl-citation.json"}</w:instrText>
      </w:r>
      <w:r w:rsidR="00C55475">
        <w:rPr>
          <w:rFonts w:ascii="Book Antiqua" w:hAnsi="Book Antiqua"/>
          <w:sz w:val="22"/>
          <w:szCs w:val="22"/>
          <w:lang w:val="sv-SE"/>
        </w:rPr>
        <w:fldChar w:fldCharType="separate"/>
      </w:r>
      <w:r w:rsidR="009D4221" w:rsidRPr="009D4221">
        <w:rPr>
          <w:rFonts w:ascii="Book Antiqua" w:hAnsi="Book Antiqua"/>
          <w:noProof/>
          <w:sz w:val="22"/>
          <w:szCs w:val="22"/>
          <w:lang w:val="sv-SE"/>
        </w:rPr>
        <w:t>(</w:t>
      </w:r>
      <w:r w:rsidR="009D4221">
        <w:rPr>
          <w:rFonts w:ascii="Book Antiqua" w:hAnsi="Book Antiqua"/>
          <w:noProof/>
          <w:sz w:val="22"/>
          <w:szCs w:val="22"/>
          <w:lang w:val="sv-SE"/>
        </w:rPr>
        <w:t>Creswell</w:t>
      </w:r>
      <w:r w:rsidR="009D4221" w:rsidRPr="009D4221">
        <w:rPr>
          <w:rFonts w:ascii="Book Antiqua" w:hAnsi="Book Antiqua"/>
          <w:noProof/>
          <w:sz w:val="22"/>
          <w:szCs w:val="22"/>
          <w:lang w:val="sv-SE"/>
        </w:rPr>
        <w:t>., 2016)</w:t>
      </w:r>
      <w:r w:rsidR="00C55475">
        <w:rPr>
          <w:rFonts w:ascii="Book Antiqua" w:hAnsi="Book Antiqua"/>
          <w:sz w:val="22"/>
          <w:szCs w:val="22"/>
          <w:lang w:val="sv-SE"/>
        </w:rPr>
        <w:fldChar w:fldCharType="end"/>
      </w:r>
      <w:r w:rsidRPr="00E00C01">
        <w:rPr>
          <w:rFonts w:ascii="Book Antiqua" w:hAnsi="Book Antiqua"/>
          <w:sz w:val="22"/>
          <w:szCs w:val="22"/>
          <w:lang w:val="sv-SE"/>
        </w:rPr>
        <w:t>, penelitian kualitatif memungkinkan peneliti untuk mengeksplorasi makna suatu fenomena dengan menafsirkan data yang bersumber dari teks, dokumen, maupun pengalaman partisipan.</w:t>
      </w:r>
    </w:p>
    <w:p w14:paraId="464B8C06" w14:textId="37393AC6" w:rsidR="00E00C01" w:rsidRPr="00E00C01" w:rsidRDefault="00E00C01" w:rsidP="00103344">
      <w:pPr>
        <w:ind w:firstLine="720"/>
        <w:jc w:val="both"/>
        <w:rPr>
          <w:rFonts w:ascii="Book Antiqua" w:hAnsi="Book Antiqua"/>
          <w:sz w:val="22"/>
          <w:szCs w:val="22"/>
          <w:lang w:val="sv-SE"/>
        </w:rPr>
      </w:pPr>
      <w:r w:rsidRPr="00E00C01">
        <w:rPr>
          <w:rFonts w:ascii="Book Antiqua" w:hAnsi="Book Antiqua"/>
          <w:sz w:val="22"/>
          <w:szCs w:val="22"/>
          <w:lang w:val="sv-SE"/>
        </w:rPr>
        <w:t xml:space="preserve">Jenis penelitian pustaka dipilih karena data utama diperoleh dari sumber-sumber tertulis, seperti peraturan pemerintah, peraturan menteri, jurnal ilmiah, artikel, dan buku yang terkait dengan manajemen sarana dan prasarana pendidikan. </w:t>
      </w:r>
      <w:r w:rsidR="0001524C">
        <w:rPr>
          <w:rFonts w:ascii="Book Antiqua" w:hAnsi="Book Antiqua"/>
          <w:sz w:val="22"/>
          <w:szCs w:val="22"/>
          <w:lang w:val="sv-SE"/>
        </w:rPr>
        <w:fldChar w:fldCharType="begin" w:fldLock="1"/>
      </w:r>
      <w:r w:rsidR="0001524C">
        <w:rPr>
          <w:rFonts w:ascii="Book Antiqua" w:hAnsi="Book Antiqua"/>
          <w:sz w:val="22"/>
          <w:szCs w:val="22"/>
          <w:lang w:val="sv-SE"/>
        </w:rPr>
        <w:instrText>ADDIN CSL_CITATION {"citationItems":[{"id":"ITEM-1","itemData":{"author":[{"dropping-particle":"","family":"Zed","given":"M","non-dropping-particle":"","parse-names":false,"suffix":""}],"id":"ITEM-1","issued":{"date-parts":[["2014"]]},"publisher":"Yayasan Obor Indonesia.","publisher-place":"Jakarta","title":"Metode Penelitian Kepustakaan","type":"book"},"uris":["http://www.mendeley.com/documents/?uuid=4ad63c7e-bf1a-43f4-904e-70258bd2d49f"]}],"mendeley":{"formattedCitation":"(Zed, 2014)","plainTextFormattedCitation":"(Zed, 2014)","previouslyFormattedCitation":"(Zed, 2014)"},"properties":{"noteIndex":0},"schema":"https://github.com/citation-style-language/schema/raw/master/csl-citation.json"}</w:instrText>
      </w:r>
      <w:r w:rsidR="0001524C">
        <w:rPr>
          <w:rFonts w:ascii="Book Antiqua" w:hAnsi="Book Antiqua"/>
          <w:sz w:val="22"/>
          <w:szCs w:val="22"/>
          <w:lang w:val="sv-SE"/>
        </w:rPr>
        <w:fldChar w:fldCharType="separate"/>
      </w:r>
      <w:r w:rsidR="0001524C" w:rsidRPr="0001524C">
        <w:rPr>
          <w:rFonts w:ascii="Book Antiqua" w:hAnsi="Book Antiqua"/>
          <w:noProof/>
          <w:sz w:val="22"/>
          <w:szCs w:val="22"/>
          <w:lang w:val="sv-SE"/>
        </w:rPr>
        <w:t>(Zed, 2014)</w:t>
      </w:r>
      <w:r w:rsidR="0001524C">
        <w:rPr>
          <w:rFonts w:ascii="Book Antiqua" w:hAnsi="Book Antiqua"/>
          <w:sz w:val="22"/>
          <w:szCs w:val="22"/>
          <w:lang w:val="sv-SE"/>
        </w:rPr>
        <w:fldChar w:fldCharType="end"/>
      </w:r>
      <w:r w:rsidRPr="00E00C01">
        <w:rPr>
          <w:rFonts w:ascii="Book Antiqua" w:hAnsi="Book Antiqua"/>
          <w:sz w:val="22"/>
          <w:szCs w:val="22"/>
          <w:lang w:val="sv-SE"/>
        </w:rPr>
        <w:t xml:space="preserve"> menjelaskan bahwa studi pustaka merupakan serangkaian kegiatan yang berhubungan dengan pengumpulan data pustaka, membaca, mencatat, dan mengolah bahan penelitian. Hal ini sesuai dengan tujuan penelitian yang hendak mendeskripsikan dan menganalisis regulasi serta standar sarana prasarana pendidikan.</w:t>
      </w:r>
    </w:p>
    <w:p w14:paraId="5B4793C6" w14:textId="109449F0" w:rsidR="00E00C01" w:rsidRPr="00E00C01" w:rsidRDefault="00E00C01" w:rsidP="00103344">
      <w:pPr>
        <w:ind w:firstLine="720"/>
        <w:jc w:val="both"/>
        <w:rPr>
          <w:rFonts w:ascii="Book Antiqua" w:hAnsi="Book Antiqua"/>
          <w:sz w:val="22"/>
          <w:szCs w:val="22"/>
          <w:lang w:val="sv-SE"/>
        </w:rPr>
      </w:pPr>
      <w:r w:rsidRPr="00E00C01">
        <w:rPr>
          <w:rFonts w:ascii="Book Antiqua" w:hAnsi="Book Antiqua"/>
          <w:sz w:val="22"/>
          <w:szCs w:val="22"/>
          <w:lang w:val="sv-SE"/>
        </w:rPr>
        <w:t xml:space="preserve">Adapun langkah penelitian ini meliputi: (1) mengidentifikasi regulasi dan literatur yang relevan, (2) menyeleksi sumber sesuai kriteria inklusi, yaitu literatur yang membahas standar dan manajemen sarana prasarana pendidikan di Indonesia maupun internasional, (3) melakukan analisis isi (content analysis) untuk membandingkan isi regulasi dan literatur, serta (4) menyusun interpretasi hasil analisis untuk melihat kesenjangan (gap) antara regulasi dan implementasi di lapangan. Analisis isi dipilih karena efektif untuk memahami makna, konsep, serta tema yang muncul dari dokumen atau teks </w:t>
      </w:r>
      <w:r w:rsidR="0001524C">
        <w:rPr>
          <w:rFonts w:ascii="Book Antiqua" w:hAnsi="Book Antiqua"/>
          <w:sz w:val="22"/>
          <w:szCs w:val="22"/>
          <w:lang w:val="sv-SE"/>
        </w:rPr>
        <w:fldChar w:fldCharType="begin" w:fldLock="1"/>
      </w:r>
      <w:r w:rsidR="0081380B">
        <w:rPr>
          <w:rFonts w:ascii="Book Antiqua" w:hAnsi="Book Antiqua"/>
          <w:sz w:val="22"/>
          <w:szCs w:val="22"/>
          <w:lang w:val="sv-SE"/>
        </w:rPr>
        <w:instrText>ADDIN CSL_CITATION {"citationItems":[{"id":"ITEM-1","itemData":{"author":[{"dropping-particle":"","family":"Krippendorff","given":"K","non-dropping-particle":"","parse-names":false,"suffix":""}],"edition":"4","id":"ITEM-1","issued":{"date-parts":[["2018"]]},"publisher":"Sage Publication Inc","publisher-place":"Los Angels","title":"Content Analysis: An Introduction to Its Methodology","type":"book"},"uris":["http://www.mendeley.com/documents/?uuid=5ec35b2f-bdd4-4d9e-bf5e-6ee1ce8f49c2"]}],"mendeley":{"formattedCitation":"(Krippendorff, 2018)","plainTextFormattedCitation":"(Krippendorff, 2018)","previouslyFormattedCitation":"(Krippendorff, 2018)"},"properties":{"noteIndex":0},"schema":"https://github.com/citation-style-language/schema/raw/master/csl-citation.json"}</w:instrText>
      </w:r>
      <w:r w:rsidR="0001524C">
        <w:rPr>
          <w:rFonts w:ascii="Book Antiqua" w:hAnsi="Book Antiqua"/>
          <w:sz w:val="22"/>
          <w:szCs w:val="22"/>
          <w:lang w:val="sv-SE"/>
        </w:rPr>
        <w:fldChar w:fldCharType="separate"/>
      </w:r>
      <w:r w:rsidR="0001524C" w:rsidRPr="0001524C">
        <w:rPr>
          <w:rFonts w:ascii="Book Antiqua" w:hAnsi="Book Antiqua"/>
          <w:noProof/>
          <w:sz w:val="22"/>
          <w:szCs w:val="22"/>
          <w:lang w:val="sv-SE"/>
        </w:rPr>
        <w:t>(Krippendorff, 2018)</w:t>
      </w:r>
      <w:r w:rsidR="0001524C">
        <w:rPr>
          <w:rFonts w:ascii="Book Antiqua" w:hAnsi="Book Antiqua"/>
          <w:sz w:val="22"/>
          <w:szCs w:val="22"/>
          <w:lang w:val="sv-SE"/>
        </w:rPr>
        <w:fldChar w:fldCharType="end"/>
      </w:r>
      <w:r w:rsidRPr="00E00C01">
        <w:rPr>
          <w:rFonts w:ascii="Book Antiqua" w:hAnsi="Book Antiqua"/>
          <w:sz w:val="22"/>
          <w:szCs w:val="22"/>
          <w:lang w:val="sv-SE"/>
        </w:rPr>
        <w:t>.</w:t>
      </w:r>
    </w:p>
    <w:p w14:paraId="63AFBBEE" w14:textId="77777777" w:rsidR="005673F0" w:rsidRPr="00F93539" w:rsidRDefault="005673F0" w:rsidP="00121E9F">
      <w:pPr>
        <w:spacing w:line="276" w:lineRule="auto"/>
        <w:ind w:left="142" w:right="-40"/>
        <w:jc w:val="both"/>
        <w:rPr>
          <w:rFonts w:ascii="Book Antiqua" w:eastAsia="Arial" w:hAnsi="Book Antiqua"/>
          <w:b/>
          <w:spacing w:val="-1"/>
          <w:sz w:val="22"/>
          <w:szCs w:val="22"/>
          <w:lang w:val="id-ID"/>
        </w:rPr>
      </w:pPr>
    </w:p>
    <w:p w14:paraId="67C98043" w14:textId="7B09A308" w:rsidR="00F07F87" w:rsidRPr="001C2B9F" w:rsidRDefault="00A16093" w:rsidP="00121E9F">
      <w:pPr>
        <w:spacing w:line="276" w:lineRule="auto"/>
        <w:ind w:right="-40"/>
        <w:jc w:val="both"/>
        <w:rPr>
          <w:rFonts w:ascii="Book Antiqua" w:eastAsia="Arial" w:hAnsi="Book Antiqua"/>
          <w:b/>
          <w:sz w:val="22"/>
          <w:szCs w:val="22"/>
          <w:lang w:val="sv-SE"/>
        </w:rPr>
      </w:pPr>
      <w:r w:rsidRPr="001C2B9F">
        <w:rPr>
          <w:rFonts w:ascii="Book Antiqua" w:eastAsia="Arial" w:hAnsi="Book Antiqua"/>
          <w:b/>
          <w:spacing w:val="-1"/>
          <w:sz w:val="22"/>
          <w:szCs w:val="22"/>
          <w:lang w:val="sv-SE"/>
        </w:rPr>
        <w:t>H</w:t>
      </w:r>
      <w:r w:rsidRPr="001C2B9F">
        <w:rPr>
          <w:rFonts w:ascii="Book Antiqua" w:eastAsia="Arial" w:hAnsi="Book Antiqua"/>
          <w:b/>
          <w:spacing w:val="-6"/>
          <w:sz w:val="22"/>
          <w:szCs w:val="22"/>
          <w:lang w:val="sv-SE"/>
        </w:rPr>
        <w:t>A</w:t>
      </w:r>
      <w:r w:rsidRPr="001C2B9F">
        <w:rPr>
          <w:rFonts w:ascii="Book Antiqua" w:eastAsia="Arial" w:hAnsi="Book Antiqua"/>
          <w:b/>
          <w:spacing w:val="2"/>
          <w:sz w:val="22"/>
          <w:szCs w:val="22"/>
          <w:lang w:val="sv-SE"/>
        </w:rPr>
        <w:t>S</w:t>
      </w:r>
      <w:r w:rsidRPr="001C2B9F">
        <w:rPr>
          <w:rFonts w:ascii="Book Antiqua" w:eastAsia="Arial" w:hAnsi="Book Antiqua"/>
          <w:b/>
          <w:spacing w:val="-4"/>
          <w:sz w:val="22"/>
          <w:szCs w:val="22"/>
          <w:lang w:val="sv-SE"/>
        </w:rPr>
        <w:t>I</w:t>
      </w:r>
      <w:r w:rsidRPr="001C2B9F">
        <w:rPr>
          <w:rFonts w:ascii="Book Antiqua" w:eastAsia="Arial" w:hAnsi="Book Antiqua"/>
          <w:b/>
          <w:sz w:val="22"/>
          <w:szCs w:val="22"/>
          <w:lang w:val="sv-SE"/>
        </w:rPr>
        <w:t>L</w:t>
      </w:r>
      <w:r w:rsidRPr="001C2B9F">
        <w:rPr>
          <w:rFonts w:ascii="Book Antiqua" w:eastAsia="Arial" w:hAnsi="Book Antiqua"/>
          <w:b/>
          <w:spacing w:val="1"/>
          <w:sz w:val="22"/>
          <w:szCs w:val="22"/>
          <w:lang w:val="sv-SE"/>
        </w:rPr>
        <w:t xml:space="preserve"> </w:t>
      </w:r>
      <w:r w:rsidRPr="001C2B9F">
        <w:rPr>
          <w:rFonts w:ascii="Book Antiqua" w:eastAsia="Arial" w:hAnsi="Book Antiqua"/>
          <w:b/>
          <w:spacing w:val="4"/>
          <w:sz w:val="22"/>
          <w:szCs w:val="22"/>
          <w:lang w:val="sv-SE"/>
        </w:rPr>
        <w:t>D</w:t>
      </w:r>
      <w:r w:rsidRPr="001C2B9F">
        <w:rPr>
          <w:rFonts w:ascii="Book Antiqua" w:eastAsia="Arial" w:hAnsi="Book Antiqua"/>
          <w:b/>
          <w:spacing w:val="-6"/>
          <w:sz w:val="22"/>
          <w:szCs w:val="22"/>
          <w:lang w:val="sv-SE"/>
        </w:rPr>
        <w:t>A</w:t>
      </w:r>
      <w:r w:rsidRPr="001C2B9F">
        <w:rPr>
          <w:rFonts w:ascii="Book Antiqua" w:eastAsia="Arial" w:hAnsi="Book Antiqua"/>
          <w:b/>
          <w:sz w:val="22"/>
          <w:szCs w:val="22"/>
          <w:lang w:val="sv-SE"/>
        </w:rPr>
        <w:t xml:space="preserve">N </w:t>
      </w:r>
      <w:r w:rsidRPr="001C2B9F">
        <w:rPr>
          <w:rFonts w:ascii="Book Antiqua" w:eastAsia="Arial" w:hAnsi="Book Antiqua"/>
          <w:b/>
          <w:spacing w:val="2"/>
          <w:sz w:val="22"/>
          <w:szCs w:val="22"/>
          <w:lang w:val="sv-SE"/>
        </w:rPr>
        <w:t>P</w:t>
      </w:r>
      <w:r w:rsidRPr="001C2B9F">
        <w:rPr>
          <w:rFonts w:ascii="Book Antiqua" w:eastAsia="Arial" w:hAnsi="Book Antiqua"/>
          <w:b/>
          <w:spacing w:val="6"/>
          <w:sz w:val="22"/>
          <w:szCs w:val="22"/>
          <w:lang w:val="sv-SE"/>
        </w:rPr>
        <w:t>E</w:t>
      </w:r>
      <w:r w:rsidRPr="001C2B9F">
        <w:rPr>
          <w:rFonts w:ascii="Book Antiqua" w:eastAsia="Arial" w:hAnsi="Book Antiqua"/>
          <w:b/>
          <w:spacing w:val="-6"/>
          <w:sz w:val="22"/>
          <w:szCs w:val="22"/>
          <w:lang w:val="sv-SE"/>
        </w:rPr>
        <w:t>M</w:t>
      </w:r>
      <w:r w:rsidRPr="001C2B9F">
        <w:rPr>
          <w:rFonts w:ascii="Book Antiqua" w:eastAsia="Arial" w:hAnsi="Book Antiqua"/>
          <w:b/>
          <w:spacing w:val="4"/>
          <w:sz w:val="22"/>
          <w:szCs w:val="22"/>
          <w:lang w:val="sv-SE"/>
        </w:rPr>
        <w:t>B</w:t>
      </w:r>
      <w:r w:rsidRPr="001C2B9F">
        <w:rPr>
          <w:rFonts w:ascii="Book Antiqua" w:eastAsia="Arial" w:hAnsi="Book Antiqua"/>
          <w:b/>
          <w:spacing w:val="-6"/>
          <w:sz w:val="22"/>
          <w:szCs w:val="22"/>
          <w:lang w:val="sv-SE"/>
        </w:rPr>
        <w:t>A</w:t>
      </w:r>
      <w:r w:rsidRPr="001C2B9F">
        <w:rPr>
          <w:rFonts w:ascii="Book Antiqua" w:eastAsia="Arial" w:hAnsi="Book Antiqua"/>
          <w:b/>
          <w:spacing w:val="4"/>
          <w:sz w:val="22"/>
          <w:szCs w:val="22"/>
          <w:lang w:val="sv-SE"/>
        </w:rPr>
        <w:t>H</w:t>
      </w:r>
      <w:r w:rsidRPr="001C2B9F">
        <w:rPr>
          <w:rFonts w:ascii="Book Antiqua" w:eastAsia="Arial" w:hAnsi="Book Antiqua"/>
          <w:b/>
          <w:spacing w:val="-11"/>
          <w:sz w:val="22"/>
          <w:szCs w:val="22"/>
          <w:lang w:val="sv-SE"/>
        </w:rPr>
        <w:t>A</w:t>
      </w:r>
      <w:r w:rsidRPr="001C2B9F">
        <w:rPr>
          <w:rFonts w:ascii="Book Antiqua" w:eastAsia="Arial" w:hAnsi="Book Antiqua"/>
          <w:b/>
          <w:spacing w:val="11"/>
          <w:sz w:val="22"/>
          <w:szCs w:val="22"/>
          <w:lang w:val="sv-SE"/>
        </w:rPr>
        <w:t>S</w:t>
      </w:r>
      <w:r w:rsidRPr="001C2B9F">
        <w:rPr>
          <w:rFonts w:ascii="Book Antiqua" w:eastAsia="Arial" w:hAnsi="Book Antiqua"/>
          <w:b/>
          <w:spacing w:val="-6"/>
          <w:sz w:val="22"/>
          <w:szCs w:val="22"/>
          <w:lang w:val="sv-SE"/>
        </w:rPr>
        <w:t>A</w:t>
      </w:r>
      <w:r w:rsidRPr="001C2B9F">
        <w:rPr>
          <w:rFonts w:ascii="Book Antiqua" w:eastAsia="Arial" w:hAnsi="Book Antiqua"/>
          <w:b/>
          <w:sz w:val="22"/>
          <w:szCs w:val="22"/>
          <w:lang w:val="sv-SE"/>
        </w:rPr>
        <w:t>N</w:t>
      </w:r>
      <w:r w:rsidR="003B626D" w:rsidRPr="001C2B9F">
        <w:rPr>
          <w:rFonts w:ascii="Book Antiqua" w:eastAsia="Arial" w:hAnsi="Book Antiqua"/>
          <w:b/>
          <w:sz w:val="22"/>
          <w:szCs w:val="22"/>
          <w:lang w:val="sv-SE"/>
        </w:rPr>
        <w:t xml:space="preserve"> </w:t>
      </w:r>
    </w:p>
    <w:p w14:paraId="7ED156E9" w14:textId="19DF0352" w:rsidR="003B626D" w:rsidRPr="00200A06" w:rsidRDefault="003B626D" w:rsidP="00121E9F">
      <w:pPr>
        <w:spacing w:line="276" w:lineRule="auto"/>
        <w:ind w:right="-40"/>
        <w:jc w:val="both"/>
        <w:rPr>
          <w:rFonts w:ascii="Book Antiqua" w:eastAsia="Arial" w:hAnsi="Book Antiqua"/>
          <w:b/>
          <w:sz w:val="22"/>
          <w:szCs w:val="22"/>
          <w:lang w:val="sv-SE"/>
        </w:rPr>
      </w:pPr>
      <w:r w:rsidRPr="00200A06">
        <w:rPr>
          <w:rFonts w:ascii="Book Antiqua" w:eastAsia="Arial" w:hAnsi="Book Antiqua"/>
          <w:b/>
          <w:sz w:val="22"/>
          <w:szCs w:val="22"/>
          <w:lang w:val="sv-SE"/>
        </w:rPr>
        <w:t>HASIL</w:t>
      </w:r>
    </w:p>
    <w:p w14:paraId="636E401F" w14:textId="34C10BB0" w:rsidR="00783841" w:rsidRDefault="0084454A" w:rsidP="0084454A">
      <w:pPr>
        <w:ind w:firstLine="567"/>
        <w:jc w:val="both"/>
        <w:rPr>
          <w:rFonts w:ascii="Book Antiqua" w:hAnsi="Book Antiqua"/>
          <w:sz w:val="22"/>
          <w:szCs w:val="22"/>
          <w:shd w:val="clear" w:color="auto" w:fill="FFFFFF"/>
          <w:lang w:val="sv-SE"/>
        </w:rPr>
      </w:pPr>
      <w:r>
        <w:rPr>
          <w:rFonts w:ascii="Book Antiqua" w:hAnsi="Book Antiqua"/>
          <w:sz w:val="22"/>
          <w:szCs w:val="22"/>
          <w:shd w:val="clear" w:color="auto" w:fill="FFFFFF"/>
          <w:lang w:val="sv-SE"/>
        </w:rPr>
        <w:t>U</w:t>
      </w:r>
      <w:r w:rsidRPr="0084454A">
        <w:rPr>
          <w:rFonts w:ascii="Book Antiqua" w:hAnsi="Book Antiqua"/>
          <w:sz w:val="22"/>
          <w:szCs w:val="22"/>
          <w:shd w:val="clear" w:color="auto" w:fill="FFFFFF"/>
          <w:lang w:val="sv-SE"/>
        </w:rPr>
        <w:t>ntuk memperoleh pemahaman yang lebih komprehensif mengenai standarisasi dan regulasi sarana prasarana pendidikan, hasil penelitian ini dituangkan dalam bentuk tabel perbandingan. Tabel ini merangkum fokus utama, cakupan, serta catatan penting dari setiap regulasi yang menjadi objek kajian</w:t>
      </w:r>
    </w:p>
    <w:p w14:paraId="7D291E67" w14:textId="77777777" w:rsidR="00273FE2" w:rsidRPr="0084454A" w:rsidRDefault="00273FE2" w:rsidP="0084454A">
      <w:pPr>
        <w:ind w:firstLine="567"/>
        <w:jc w:val="both"/>
        <w:rPr>
          <w:rFonts w:ascii="Book Antiqua" w:hAnsi="Book Antiqua"/>
          <w:sz w:val="22"/>
          <w:szCs w:val="22"/>
          <w:shd w:val="clear" w:color="auto" w:fill="FFFFFF"/>
          <w:lang w:val="sv-SE"/>
        </w:rPr>
      </w:pPr>
    </w:p>
    <w:p w14:paraId="40E98C3D" w14:textId="65A42FAA" w:rsidR="00032D80" w:rsidRPr="00103344" w:rsidRDefault="00EA3F21" w:rsidP="00103344">
      <w:pPr>
        <w:jc w:val="center"/>
        <w:rPr>
          <w:rFonts w:ascii="Book Antiqua" w:hAnsi="Book Antiqua"/>
          <w:b/>
          <w:bCs/>
          <w:shd w:val="clear" w:color="auto" w:fill="FFFFFF"/>
          <w:lang w:val="sv-SE"/>
        </w:rPr>
      </w:pPr>
      <w:r w:rsidRPr="00103344">
        <w:rPr>
          <w:rFonts w:ascii="Book Antiqua" w:hAnsi="Book Antiqua"/>
          <w:b/>
          <w:bCs/>
          <w:shd w:val="clear" w:color="auto" w:fill="FFFFFF"/>
          <w:lang w:val="sv-SE"/>
        </w:rPr>
        <w:t>Tabel</w:t>
      </w:r>
      <w:r w:rsidR="00E00C01" w:rsidRPr="00103344">
        <w:rPr>
          <w:rFonts w:ascii="Book Antiqua" w:hAnsi="Book Antiqua"/>
          <w:b/>
          <w:bCs/>
          <w:shd w:val="clear" w:color="auto" w:fill="FFFFFF"/>
          <w:lang w:val="sv-SE"/>
        </w:rPr>
        <w:t xml:space="preserve"> 1. </w:t>
      </w:r>
      <w:r w:rsidR="00581198" w:rsidRPr="00103344">
        <w:rPr>
          <w:rFonts w:ascii="Book Antiqua" w:hAnsi="Book Antiqua"/>
          <w:b/>
          <w:bCs/>
          <w:shd w:val="clear" w:color="auto" w:fill="FFFFFF"/>
          <w:lang w:val="sv-SE"/>
        </w:rPr>
        <w:t>Perbandingan Regulasi Sarana dan Prasarana Pendidikan</w:t>
      </w:r>
    </w:p>
    <w:tbl>
      <w:tblPr>
        <w:tblW w:w="9625" w:type="dxa"/>
        <w:tblLook w:val="04A0" w:firstRow="1" w:lastRow="0" w:firstColumn="1" w:lastColumn="0" w:noHBand="0" w:noVBand="1"/>
      </w:tblPr>
      <w:tblGrid>
        <w:gridCol w:w="1696"/>
        <w:gridCol w:w="1701"/>
        <w:gridCol w:w="2552"/>
        <w:gridCol w:w="1984"/>
        <w:gridCol w:w="1692"/>
      </w:tblGrid>
      <w:tr w:rsidR="001C2B9F" w:rsidRPr="001C2B9F" w14:paraId="6881E4BE" w14:textId="77777777" w:rsidTr="00581198">
        <w:trPr>
          <w:trHeight w:val="288"/>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3637B312" w14:textId="77777777" w:rsidR="001C2B9F" w:rsidRPr="00103344" w:rsidRDefault="001C2B9F" w:rsidP="001C2B9F">
            <w:pPr>
              <w:jc w:val="center"/>
              <w:rPr>
                <w:rFonts w:ascii="Calibri" w:hAnsi="Calibri" w:cs="Calibri"/>
                <w:b/>
                <w:bCs/>
                <w:color w:val="000000"/>
                <w:lang w:val="en-ID" w:eastAsia="en-ID"/>
              </w:rPr>
            </w:pPr>
            <w:r w:rsidRPr="00103344">
              <w:rPr>
                <w:rFonts w:ascii="Calibri" w:hAnsi="Calibri" w:cs="Calibri"/>
                <w:b/>
                <w:bCs/>
                <w:color w:val="000000"/>
                <w:lang w:val="en-ID" w:eastAsia="en-ID"/>
              </w:rPr>
              <w:t>Regulasi / Tahun</w:t>
            </w:r>
          </w:p>
        </w:tc>
        <w:tc>
          <w:tcPr>
            <w:tcW w:w="1701" w:type="dxa"/>
            <w:tcBorders>
              <w:top w:val="single" w:sz="4" w:space="0" w:color="auto"/>
              <w:left w:val="nil"/>
              <w:bottom w:val="single" w:sz="4" w:space="0" w:color="auto"/>
              <w:right w:val="single" w:sz="4" w:space="0" w:color="auto"/>
            </w:tcBorders>
            <w:shd w:val="clear" w:color="auto" w:fill="auto"/>
            <w:noWrap/>
            <w:hideMark/>
          </w:tcPr>
          <w:p w14:paraId="11DD8A3D" w14:textId="77777777" w:rsidR="001C2B9F" w:rsidRPr="00103344" w:rsidRDefault="001C2B9F" w:rsidP="001C2B9F">
            <w:pPr>
              <w:jc w:val="center"/>
              <w:rPr>
                <w:rFonts w:ascii="Calibri" w:hAnsi="Calibri" w:cs="Calibri"/>
                <w:b/>
                <w:bCs/>
                <w:color w:val="000000"/>
                <w:lang w:val="en-ID" w:eastAsia="en-ID"/>
              </w:rPr>
            </w:pPr>
            <w:r w:rsidRPr="00103344">
              <w:rPr>
                <w:rFonts w:ascii="Calibri" w:hAnsi="Calibri" w:cs="Calibri"/>
                <w:b/>
                <w:bCs/>
                <w:color w:val="000000"/>
                <w:lang w:val="en-ID" w:eastAsia="en-ID"/>
              </w:rPr>
              <w:t>Fokus Utama</w:t>
            </w:r>
          </w:p>
        </w:tc>
        <w:tc>
          <w:tcPr>
            <w:tcW w:w="2552" w:type="dxa"/>
            <w:tcBorders>
              <w:top w:val="single" w:sz="4" w:space="0" w:color="auto"/>
              <w:left w:val="nil"/>
              <w:bottom w:val="single" w:sz="4" w:space="0" w:color="auto"/>
              <w:right w:val="single" w:sz="4" w:space="0" w:color="auto"/>
            </w:tcBorders>
            <w:shd w:val="clear" w:color="auto" w:fill="auto"/>
            <w:noWrap/>
            <w:hideMark/>
          </w:tcPr>
          <w:p w14:paraId="7B0D11AF" w14:textId="77777777" w:rsidR="001C2B9F" w:rsidRPr="00103344" w:rsidRDefault="001C2B9F" w:rsidP="001C2B9F">
            <w:pPr>
              <w:jc w:val="center"/>
              <w:rPr>
                <w:rFonts w:ascii="Calibri" w:hAnsi="Calibri" w:cs="Calibri"/>
                <w:b/>
                <w:bCs/>
                <w:color w:val="000000"/>
                <w:lang w:val="en-ID" w:eastAsia="en-ID"/>
              </w:rPr>
            </w:pPr>
            <w:r w:rsidRPr="00103344">
              <w:rPr>
                <w:rFonts w:ascii="Calibri" w:hAnsi="Calibri" w:cs="Calibri"/>
                <w:b/>
                <w:bCs/>
                <w:color w:val="000000"/>
                <w:lang w:val="en-ID" w:eastAsia="en-ID"/>
              </w:rPr>
              <w:t>Cakupan Sarpras</w:t>
            </w:r>
          </w:p>
        </w:tc>
        <w:tc>
          <w:tcPr>
            <w:tcW w:w="1984" w:type="dxa"/>
            <w:tcBorders>
              <w:top w:val="single" w:sz="4" w:space="0" w:color="auto"/>
              <w:left w:val="nil"/>
              <w:bottom w:val="single" w:sz="4" w:space="0" w:color="auto"/>
              <w:right w:val="single" w:sz="4" w:space="0" w:color="auto"/>
            </w:tcBorders>
            <w:shd w:val="clear" w:color="auto" w:fill="auto"/>
            <w:noWrap/>
            <w:hideMark/>
          </w:tcPr>
          <w:p w14:paraId="3F6C6A60" w14:textId="77777777" w:rsidR="001C2B9F" w:rsidRPr="00103344" w:rsidRDefault="001C2B9F" w:rsidP="001C2B9F">
            <w:pPr>
              <w:jc w:val="center"/>
              <w:rPr>
                <w:rFonts w:ascii="Calibri" w:hAnsi="Calibri" w:cs="Calibri"/>
                <w:b/>
                <w:bCs/>
                <w:color w:val="000000"/>
                <w:lang w:val="en-ID" w:eastAsia="en-ID"/>
              </w:rPr>
            </w:pPr>
            <w:r w:rsidRPr="00103344">
              <w:rPr>
                <w:rFonts w:ascii="Calibri" w:hAnsi="Calibri" w:cs="Calibri"/>
                <w:b/>
                <w:bCs/>
                <w:color w:val="000000"/>
                <w:lang w:val="en-ID" w:eastAsia="en-ID"/>
              </w:rPr>
              <w:t>Kelebihan</w:t>
            </w:r>
          </w:p>
        </w:tc>
        <w:tc>
          <w:tcPr>
            <w:tcW w:w="1692" w:type="dxa"/>
            <w:tcBorders>
              <w:top w:val="single" w:sz="4" w:space="0" w:color="auto"/>
              <w:left w:val="nil"/>
              <w:bottom w:val="single" w:sz="4" w:space="0" w:color="auto"/>
              <w:right w:val="single" w:sz="4" w:space="0" w:color="auto"/>
            </w:tcBorders>
            <w:shd w:val="clear" w:color="auto" w:fill="auto"/>
            <w:noWrap/>
            <w:hideMark/>
          </w:tcPr>
          <w:p w14:paraId="3D39ABD5" w14:textId="77777777" w:rsidR="001C2B9F" w:rsidRPr="00103344" w:rsidRDefault="001C2B9F" w:rsidP="001C2B9F">
            <w:pPr>
              <w:jc w:val="center"/>
              <w:rPr>
                <w:rFonts w:ascii="Calibri" w:hAnsi="Calibri" w:cs="Calibri"/>
                <w:b/>
                <w:bCs/>
                <w:color w:val="000000"/>
                <w:lang w:val="en-ID" w:eastAsia="en-ID"/>
              </w:rPr>
            </w:pPr>
            <w:r w:rsidRPr="00103344">
              <w:rPr>
                <w:rFonts w:ascii="Calibri" w:hAnsi="Calibri" w:cs="Calibri"/>
                <w:b/>
                <w:bCs/>
                <w:color w:val="000000"/>
                <w:lang w:val="en-ID" w:eastAsia="en-ID"/>
              </w:rPr>
              <w:t>Kelemahan / Catatan</w:t>
            </w:r>
          </w:p>
        </w:tc>
      </w:tr>
      <w:tr w:rsidR="001C2B9F" w:rsidRPr="001C2B9F" w14:paraId="789912CB" w14:textId="77777777" w:rsidTr="00581198">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A31291C" w14:textId="77777777" w:rsidR="001C2B9F" w:rsidRPr="00103344" w:rsidRDefault="001C2B9F" w:rsidP="000206AD">
            <w:pPr>
              <w:jc w:val="center"/>
              <w:rPr>
                <w:rFonts w:ascii="Calibri" w:hAnsi="Calibri" w:cs="Calibri"/>
                <w:color w:val="000000"/>
                <w:lang w:val="en-ID" w:eastAsia="en-ID"/>
              </w:rPr>
            </w:pPr>
            <w:r w:rsidRPr="00103344">
              <w:rPr>
                <w:rFonts w:ascii="Calibri" w:hAnsi="Calibri" w:cs="Calibri"/>
                <w:color w:val="000000"/>
                <w:lang w:val="en-ID" w:eastAsia="en-ID"/>
              </w:rPr>
              <w:t>PP No. 19 Tahun 2005</w:t>
            </w:r>
          </w:p>
        </w:tc>
        <w:tc>
          <w:tcPr>
            <w:tcW w:w="1701" w:type="dxa"/>
            <w:tcBorders>
              <w:top w:val="nil"/>
              <w:left w:val="nil"/>
              <w:bottom w:val="single" w:sz="4" w:space="0" w:color="auto"/>
              <w:right w:val="single" w:sz="4" w:space="0" w:color="auto"/>
            </w:tcBorders>
            <w:shd w:val="clear" w:color="auto" w:fill="auto"/>
            <w:noWrap/>
            <w:vAlign w:val="bottom"/>
            <w:hideMark/>
          </w:tcPr>
          <w:p w14:paraId="2B02FA14" w14:textId="77777777" w:rsidR="001C2B9F" w:rsidRPr="00103344" w:rsidRDefault="001C2B9F" w:rsidP="001C2B9F">
            <w:pPr>
              <w:rPr>
                <w:rFonts w:ascii="Calibri" w:hAnsi="Calibri" w:cs="Calibri"/>
                <w:color w:val="000000"/>
                <w:lang w:val="sv-SE" w:eastAsia="en-ID"/>
              </w:rPr>
            </w:pPr>
            <w:r w:rsidRPr="00103344">
              <w:rPr>
                <w:rFonts w:ascii="Calibri" w:hAnsi="Calibri" w:cs="Calibri"/>
                <w:color w:val="000000"/>
                <w:lang w:val="sv-SE" w:eastAsia="en-ID"/>
              </w:rPr>
              <w:t>Standarisasi minimal sarana dan prasarana pendidikan</w:t>
            </w:r>
          </w:p>
        </w:tc>
        <w:tc>
          <w:tcPr>
            <w:tcW w:w="2552" w:type="dxa"/>
            <w:tcBorders>
              <w:top w:val="nil"/>
              <w:left w:val="nil"/>
              <w:bottom w:val="single" w:sz="4" w:space="0" w:color="auto"/>
              <w:right w:val="single" w:sz="4" w:space="0" w:color="auto"/>
            </w:tcBorders>
            <w:shd w:val="clear" w:color="auto" w:fill="auto"/>
            <w:noWrap/>
            <w:vAlign w:val="bottom"/>
            <w:hideMark/>
          </w:tcPr>
          <w:p w14:paraId="2C40A21D" w14:textId="77777777" w:rsidR="001C2B9F" w:rsidRPr="00103344" w:rsidRDefault="001C2B9F" w:rsidP="001C2B9F">
            <w:pPr>
              <w:rPr>
                <w:rFonts w:ascii="Calibri" w:hAnsi="Calibri" w:cs="Calibri"/>
                <w:color w:val="000000"/>
                <w:lang w:val="sv-SE" w:eastAsia="en-ID"/>
              </w:rPr>
            </w:pPr>
            <w:r w:rsidRPr="00103344">
              <w:rPr>
                <w:rFonts w:ascii="Calibri" w:hAnsi="Calibri" w:cs="Calibri"/>
                <w:color w:val="000000"/>
                <w:lang w:val="sv-SE" w:eastAsia="en-ID"/>
              </w:rPr>
              <w:t>Ruang belajar, perpustakaan, laboratorium, tempat ibadah, ruang olahraga, TIK</w:t>
            </w:r>
          </w:p>
        </w:tc>
        <w:tc>
          <w:tcPr>
            <w:tcW w:w="1984" w:type="dxa"/>
            <w:tcBorders>
              <w:top w:val="nil"/>
              <w:left w:val="nil"/>
              <w:bottom w:val="single" w:sz="4" w:space="0" w:color="auto"/>
              <w:right w:val="single" w:sz="4" w:space="0" w:color="auto"/>
            </w:tcBorders>
            <w:shd w:val="clear" w:color="auto" w:fill="auto"/>
            <w:noWrap/>
            <w:vAlign w:val="bottom"/>
            <w:hideMark/>
          </w:tcPr>
          <w:p w14:paraId="46980C00" w14:textId="77777777" w:rsidR="001C2B9F" w:rsidRPr="00103344" w:rsidRDefault="001C2B9F" w:rsidP="001C2B9F">
            <w:pPr>
              <w:rPr>
                <w:rFonts w:ascii="Calibri" w:hAnsi="Calibri" w:cs="Calibri"/>
                <w:color w:val="000000"/>
                <w:lang w:val="sv-SE" w:eastAsia="en-ID"/>
              </w:rPr>
            </w:pPr>
            <w:r w:rsidRPr="00103344">
              <w:rPr>
                <w:rFonts w:ascii="Calibri" w:hAnsi="Calibri" w:cs="Calibri"/>
                <w:color w:val="000000"/>
                <w:lang w:val="sv-SE" w:eastAsia="en-ID"/>
              </w:rPr>
              <w:t>Memberikan dasar hukum yang jelas untuk standar minimal</w:t>
            </w:r>
          </w:p>
        </w:tc>
        <w:tc>
          <w:tcPr>
            <w:tcW w:w="1692" w:type="dxa"/>
            <w:tcBorders>
              <w:top w:val="nil"/>
              <w:left w:val="nil"/>
              <w:bottom w:val="single" w:sz="4" w:space="0" w:color="auto"/>
              <w:right w:val="single" w:sz="4" w:space="0" w:color="auto"/>
            </w:tcBorders>
            <w:shd w:val="clear" w:color="auto" w:fill="auto"/>
            <w:noWrap/>
            <w:vAlign w:val="bottom"/>
            <w:hideMark/>
          </w:tcPr>
          <w:p w14:paraId="52113131" w14:textId="77777777" w:rsidR="001C2B9F" w:rsidRPr="00103344" w:rsidRDefault="001C2B9F" w:rsidP="001C2B9F">
            <w:pPr>
              <w:rPr>
                <w:rFonts w:ascii="Calibri" w:hAnsi="Calibri" w:cs="Calibri"/>
                <w:color w:val="000000"/>
                <w:lang w:val="sv-SE" w:eastAsia="en-ID"/>
              </w:rPr>
            </w:pPr>
            <w:r w:rsidRPr="00103344">
              <w:rPr>
                <w:rFonts w:ascii="Calibri" w:hAnsi="Calibri" w:cs="Calibri"/>
                <w:color w:val="000000"/>
                <w:lang w:val="sv-SE" w:eastAsia="en-ID"/>
              </w:rPr>
              <w:t>Belum detail teknis untuk tiap jenjang pendidikan</w:t>
            </w:r>
          </w:p>
        </w:tc>
      </w:tr>
      <w:tr w:rsidR="001C2B9F" w:rsidRPr="001C2B9F" w14:paraId="184BE72F" w14:textId="77777777" w:rsidTr="00581198">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372E877" w14:textId="77777777" w:rsidR="001C2B9F" w:rsidRPr="00103344" w:rsidRDefault="001C2B9F" w:rsidP="000206AD">
            <w:pPr>
              <w:jc w:val="center"/>
              <w:rPr>
                <w:rFonts w:ascii="Calibri" w:hAnsi="Calibri" w:cs="Calibri"/>
                <w:color w:val="000000"/>
                <w:lang w:val="en-ID" w:eastAsia="en-ID"/>
              </w:rPr>
            </w:pPr>
            <w:r w:rsidRPr="00103344">
              <w:rPr>
                <w:rFonts w:ascii="Calibri" w:hAnsi="Calibri" w:cs="Calibri"/>
                <w:color w:val="000000"/>
                <w:lang w:val="en-ID" w:eastAsia="en-ID"/>
              </w:rPr>
              <w:t>Permendiknas No. 24 Tahun 2007</w:t>
            </w:r>
          </w:p>
        </w:tc>
        <w:tc>
          <w:tcPr>
            <w:tcW w:w="1701" w:type="dxa"/>
            <w:tcBorders>
              <w:top w:val="nil"/>
              <w:left w:val="nil"/>
              <w:bottom w:val="single" w:sz="4" w:space="0" w:color="auto"/>
              <w:right w:val="single" w:sz="4" w:space="0" w:color="auto"/>
            </w:tcBorders>
            <w:shd w:val="clear" w:color="auto" w:fill="auto"/>
            <w:noWrap/>
            <w:vAlign w:val="bottom"/>
            <w:hideMark/>
          </w:tcPr>
          <w:p w14:paraId="0A4CD44E" w14:textId="77777777" w:rsidR="001C2B9F" w:rsidRPr="00103344" w:rsidRDefault="001C2B9F" w:rsidP="001C2B9F">
            <w:pPr>
              <w:rPr>
                <w:rFonts w:ascii="Calibri" w:hAnsi="Calibri" w:cs="Calibri"/>
                <w:color w:val="000000"/>
                <w:lang w:val="sv-SE" w:eastAsia="en-ID"/>
              </w:rPr>
            </w:pPr>
            <w:r w:rsidRPr="00103344">
              <w:rPr>
                <w:rFonts w:ascii="Calibri" w:hAnsi="Calibri" w:cs="Calibri"/>
                <w:color w:val="000000"/>
                <w:lang w:val="sv-SE" w:eastAsia="en-ID"/>
              </w:rPr>
              <w:t>Standar sarpras SD/MI, SMP/MTs, SMA/MA</w:t>
            </w:r>
          </w:p>
        </w:tc>
        <w:tc>
          <w:tcPr>
            <w:tcW w:w="2552" w:type="dxa"/>
            <w:tcBorders>
              <w:top w:val="nil"/>
              <w:left w:val="nil"/>
              <w:bottom w:val="single" w:sz="4" w:space="0" w:color="auto"/>
              <w:right w:val="single" w:sz="4" w:space="0" w:color="auto"/>
            </w:tcBorders>
            <w:shd w:val="clear" w:color="auto" w:fill="auto"/>
            <w:noWrap/>
            <w:vAlign w:val="bottom"/>
            <w:hideMark/>
          </w:tcPr>
          <w:p w14:paraId="40797B38" w14:textId="77777777" w:rsidR="001C2B9F" w:rsidRPr="00103344" w:rsidRDefault="001C2B9F" w:rsidP="001C2B9F">
            <w:pPr>
              <w:rPr>
                <w:rFonts w:ascii="Calibri" w:hAnsi="Calibri" w:cs="Calibri"/>
                <w:color w:val="000000"/>
                <w:lang w:val="sv-SE" w:eastAsia="en-ID"/>
              </w:rPr>
            </w:pPr>
            <w:r w:rsidRPr="00103344">
              <w:rPr>
                <w:rFonts w:ascii="Calibri" w:hAnsi="Calibri" w:cs="Calibri"/>
                <w:color w:val="000000"/>
                <w:lang w:val="sv-SE" w:eastAsia="en-ID"/>
              </w:rPr>
              <w:t>Lahan pendidikan, fasilitas pembelajaran, buku, sumber belajar, perangkat TIK</w:t>
            </w:r>
          </w:p>
        </w:tc>
        <w:tc>
          <w:tcPr>
            <w:tcW w:w="1984" w:type="dxa"/>
            <w:tcBorders>
              <w:top w:val="nil"/>
              <w:left w:val="nil"/>
              <w:bottom w:val="single" w:sz="4" w:space="0" w:color="auto"/>
              <w:right w:val="single" w:sz="4" w:space="0" w:color="auto"/>
            </w:tcBorders>
            <w:shd w:val="clear" w:color="auto" w:fill="auto"/>
            <w:noWrap/>
            <w:vAlign w:val="bottom"/>
            <w:hideMark/>
          </w:tcPr>
          <w:p w14:paraId="0F78E6BE" w14:textId="77777777" w:rsidR="001C2B9F" w:rsidRPr="00103344" w:rsidRDefault="001C2B9F" w:rsidP="001C2B9F">
            <w:pPr>
              <w:rPr>
                <w:rFonts w:ascii="Calibri" w:hAnsi="Calibri" w:cs="Calibri"/>
                <w:color w:val="000000"/>
                <w:lang w:val="sv-SE" w:eastAsia="en-ID"/>
              </w:rPr>
            </w:pPr>
            <w:r w:rsidRPr="00103344">
              <w:rPr>
                <w:rFonts w:ascii="Calibri" w:hAnsi="Calibri" w:cs="Calibri"/>
                <w:color w:val="000000"/>
                <w:lang w:val="sv-SE" w:eastAsia="en-ID"/>
              </w:rPr>
              <w:t>Menentukan kriteria minimal sesuai jenjang pendidikan</w:t>
            </w:r>
          </w:p>
        </w:tc>
        <w:tc>
          <w:tcPr>
            <w:tcW w:w="1692" w:type="dxa"/>
            <w:tcBorders>
              <w:top w:val="nil"/>
              <w:left w:val="nil"/>
              <w:bottom w:val="single" w:sz="4" w:space="0" w:color="auto"/>
              <w:right w:val="single" w:sz="4" w:space="0" w:color="auto"/>
            </w:tcBorders>
            <w:shd w:val="clear" w:color="auto" w:fill="auto"/>
            <w:noWrap/>
            <w:vAlign w:val="bottom"/>
            <w:hideMark/>
          </w:tcPr>
          <w:p w14:paraId="2C38C0DF" w14:textId="77777777" w:rsidR="001C2B9F" w:rsidRPr="00103344" w:rsidRDefault="001C2B9F" w:rsidP="001C2B9F">
            <w:pPr>
              <w:rPr>
                <w:rFonts w:ascii="Calibri" w:hAnsi="Calibri" w:cs="Calibri"/>
                <w:color w:val="000000"/>
                <w:lang w:val="sv-SE" w:eastAsia="en-ID"/>
              </w:rPr>
            </w:pPr>
            <w:r w:rsidRPr="00103344">
              <w:rPr>
                <w:rFonts w:ascii="Calibri" w:hAnsi="Calibri" w:cs="Calibri"/>
                <w:color w:val="000000"/>
                <w:lang w:val="sv-SE" w:eastAsia="en-ID"/>
              </w:rPr>
              <w:t>Masih umum, belum mengakomodasi variasi kondisi daerah</w:t>
            </w:r>
          </w:p>
        </w:tc>
      </w:tr>
      <w:tr w:rsidR="001C2B9F" w:rsidRPr="001C2B9F" w14:paraId="2859645F" w14:textId="77777777" w:rsidTr="00581198">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32F0A415" w14:textId="77777777" w:rsidR="001C2B9F" w:rsidRPr="00103344" w:rsidRDefault="001C2B9F" w:rsidP="000206AD">
            <w:pPr>
              <w:jc w:val="center"/>
              <w:rPr>
                <w:rFonts w:ascii="Calibri" w:hAnsi="Calibri" w:cs="Calibri"/>
                <w:color w:val="000000"/>
                <w:lang w:val="en-ID" w:eastAsia="en-ID"/>
              </w:rPr>
            </w:pPr>
            <w:r w:rsidRPr="00103344">
              <w:rPr>
                <w:rFonts w:ascii="Calibri" w:hAnsi="Calibri" w:cs="Calibri"/>
                <w:color w:val="000000"/>
                <w:lang w:val="en-ID" w:eastAsia="en-ID"/>
              </w:rPr>
              <w:t>Permendikbud No. 127 Tahun 2014</w:t>
            </w:r>
          </w:p>
        </w:tc>
        <w:tc>
          <w:tcPr>
            <w:tcW w:w="1701" w:type="dxa"/>
            <w:tcBorders>
              <w:top w:val="nil"/>
              <w:left w:val="nil"/>
              <w:bottom w:val="single" w:sz="4" w:space="0" w:color="auto"/>
              <w:right w:val="single" w:sz="4" w:space="0" w:color="auto"/>
            </w:tcBorders>
            <w:shd w:val="clear" w:color="auto" w:fill="auto"/>
            <w:noWrap/>
            <w:vAlign w:val="bottom"/>
            <w:hideMark/>
          </w:tcPr>
          <w:p w14:paraId="54D38156" w14:textId="77777777" w:rsidR="001C2B9F" w:rsidRPr="00103344" w:rsidRDefault="001C2B9F" w:rsidP="001C2B9F">
            <w:pPr>
              <w:rPr>
                <w:rFonts w:ascii="Calibri" w:hAnsi="Calibri" w:cs="Calibri"/>
                <w:color w:val="000000"/>
                <w:lang w:val="sv-SE" w:eastAsia="en-ID"/>
              </w:rPr>
            </w:pPr>
            <w:r w:rsidRPr="00103344">
              <w:rPr>
                <w:rFonts w:ascii="Calibri" w:hAnsi="Calibri" w:cs="Calibri"/>
                <w:color w:val="000000"/>
                <w:lang w:val="sv-SE" w:eastAsia="en-ID"/>
              </w:rPr>
              <w:t>Standar sarpras Lembaga Kursus &amp; Pelatihan (LKP)</w:t>
            </w:r>
          </w:p>
        </w:tc>
        <w:tc>
          <w:tcPr>
            <w:tcW w:w="2552" w:type="dxa"/>
            <w:tcBorders>
              <w:top w:val="nil"/>
              <w:left w:val="nil"/>
              <w:bottom w:val="single" w:sz="4" w:space="0" w:color="auto"/>
              <w:right w:val="single" w:sz="4" w:space="0" w:color="auto"/>
            </w:tcBorders>
            <w:shd w:val="clear" w:color="auto" w:fill="auto"/>
            <w:noWrap/>
            <w:vAlign w:val="bottom"/>
            <w:hideMark/>
          </w:tcPr>
          <w:p w14:paraId="51159390" w14:textId="77777777" w:rsidR="001C2B9F" w:rsidRPr="00103344" w:rsidRDefault="001C2B9F" w:rsidP="001C2B9F">
            <w:pPr>
              <w:rPr>
                <w:rFonts w:ascii="Calibri" w:hAnsi="Calibri" w:cs="Calibri"/>
                <w:color w:val="000000"/>
                <w:lang w:val="sv-SE" w:eastAsia="en-ID"/>
              </w:rPr>
            </w:pPr>
            <w:r w:rsidRPr="00103344">
              <w:rPr>
                <w:rFonts w:ascii="Calibri" w:hAnsi="Calibri" w:cs="Calibri"/>
                <w:color w:val="000000"/>
                <w:lang w:val="sv-SE" w:eastAsia="en-ID"/>
              </w:rPr>
              <w:t>Lahan, bangunan, ruang teori &amp; praktik, ruang penunjang, sarana pembelajaran</w:t>
            </w:r>
          </w:p>
        </w:tc>
        <w:tc>
          <w:tcPr>
            <w:tcW w:w="1984" w:type="dxa"/>
            <w:tcBorders>
              <w:top w:val="nil"/>
              <w:left w:val="nil"/>
              <w:bottom w:val="single" w:sz="4" w:space="0" w:color="auto"/>
              <w:right w:val="single" w:sz="4" w:space="0" w:color="auto"/>
            </w:tcBorders>
            <w:shd w:val="clear" w:color="auto" w:fill="auto"/>
            <w:noWrap/>
            <w:vAlign w:val="bottom"/>
            <w:hideMark/>
          </w:tcPr>
          <w:p w14:paraId="43CAD48D" w14:textId="77777777" w:rsidR="001C2B9F" w:rsidRPr="00103344" w:rsidRDefault="001C2B9F" w:rsidP="001C2B9F">
            <w:pPr>
              <w:rPr>
                <w:rFonts w:ascii="Calibri" w:hAnsi="Calibri" w:cs="Calibri"/>
                <w:color w:val="000000"/>
                <w:lang w:val="sv-SE" w:eastAsia="en-ID"/>
              </w:rPr>
            </w:pPr>
            <w:r w:rsidRPr="00103344">
              <w:rPr>
                <w:rFonts w:ascii="Calibri" w:hAnsi="Calibri" w:cs="Calibri"/>
                <w:color w:val="000000"/>
                <w:lang w:val="sv-SE" w:eastAsia="en-ID"/>
              </w:rPr>
              <w:t>Lebih detail &amp; operasional, menyertakan sarana praktik</w:t>
            </w:r>
          </w:p>
        </w:tc>
        <w:tc>
          <w:tcPr>
            <w:tcW w:w="1692" w:type="dxa"/>
            <w:tcBorders>
              <w:top w:val="nil"/>
              <w:left w:val="nil"/>
              <w:bottom w:val="single" w:sz="4" w:space="0" w:color="auto"/>
              <w:right w:val="single" w:sz="4" w:space="0" w:color="auto"/>
            </w:tcBorders>
            <w:shd w:val="clear" w:color="auto" w:fill="auto"/>
            <w:noWrap/>
            <w:vAlign w:val="bottom"/>
            <w:hideMark/>
          </w:tcPr>
          <w:p w14:paraId="57490BE0" w14:textId="77777777" w:rsidR="001C2B9F" w:rsidRPr="00103344" w:rsidRDefault="001C2B9F" w:rsidP="001C2B9F">
            <w:pPr>
              <w:rPr>
                <w:rFonts w:ascii="Calibri" w:hAnsi="Calibri" w:cs="Calibri"/>
                <w:color w:val="000000"/>
                <w:lang w:val="sv-SE" w:eastAsia="en-ID"/>
              </w:rPr>
            </w:pPr>
            <w:r w:rsidRPr="00103344">
              <w:rPr>
                <w:rFonts w:ascii="Calibri" w:hAnsi="Calibri" w:cs="Calibri"/>
                <w:color w:val="000000"/>
                <w:lang w:val="sv-SE" w:eastAsia="en-ID"/>
              </w:rPr>
              <w:t>Fokus hanya pada LKP, bukan sekolah umum</w:t>
            </w:r>
          </w:p>
        </w:tc>
      </w:tr>
      <w:tr w:rsidR="001C2B9F" w:rsidRPr="001C2B9F" w14:paraId="451B8B92" w14:textId="77777777" w:rsidTr="00581198">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86C5BBE" w14:textId="77777777" w:rsidR="001C2B9F" w:rsidRPr="00103344" w:rsidRDefault="001C2B9F" w:rsidP="000206AD">
            <w:pPr>
              <w:jc w:val="center"/>
              <w:rPr>
                <w:rFonts w:ascii="Calibri" w:hAnsi="Calibri" w:cs="Calibri"/>
                <w:color w:val="000000"/>
                <w:lang w:val="en-ID" w:eastAsia="en-ID"/>
              </w:rPr>
            </w:pPr>
            <w:r w:rsidRPr="00103344">
              <w:rPr>
                <w:rFonts w:ascii="Calibri" w:hAnsi="Calibri" w:cs="Calibri"/>
                <w:color w:val="000000"/>
                <w:lang w:val="en-ID" w:eastAsia="en-ID"/>
              </w:rPr>
              <w:t>Permen PAN-RB No. 48 Tahun 2013</w:t>
            </w:r>
          </w:p>
        </w:tc>
        <w:tc>
          <w:tcPr>
            <w:tcW w:w="1701" w:type="dxa"/>
            <w:tcBorders>
              <w:top w:val="nil"/>
              <w:left w:val="nil"/>
              <w:bottom w:val="single" w:sz="4" w:space="0" w:color="auto"/>
              <w:right w:val="single" w:sz="4" w:space="0" w:color="auto"/>
            </w:tcBorders>
            <w:shd w:val="clear" w:color="auto" w:fill="auto"/>
            <w:noWrap/>
            <w:vAlign w:val="bottom"/>
            <w:hideMark/>
          </w:tcPr>
          <w:p w14:paraId="40084996" w14:textId="77777777" w:rsidR="001C2B9F" w:rsidRPr="00103344" w:rsidRDefault="001C2B9F" w:rsidP="001C2B9F">
            <w:pPr>
              <w:rPr>
                <w:rFonts w:ascii="Calibri" w:hAnsi="Calibri" w:cs="Calibri"/>
                <w:color w:val="000000"/>
                <w:lang w:val="en-ID" w:eastAsia="en-ID"/>
              </w:rPr>
            </w:pPr>
            <w:r w:rsidRPr="00103344">
              <w:rPr>
                <w:rFonts w:ascii="Calibri" w:hAnsi="Calibri" w:cs="Calibri"/>
                <w:color w:val="000000"/>
                <w:lang w:val="en-ID" w:eastAsia="en-ID"/>
              </w:rPr>
              <w:t>Standar sarpras kantor pemerintahan</w:t>
            </w:r>
          </w:p>
        </w:tc>
        <w:tc>
          <w:tcPr>
            <w:tcW w:w="2552" w:type="dxa"/>
            <w:tcBorders>
              <w:top w:val="nil"/>
              <w:left w:val="nil"/>
              <w:bottom w:val="single" w:sz="4" w:space="0" w:color="auto"/>
              <w:right w:val="single" w:sz="4" w:space="0" w:color="auto"/>
            </w:tcBorders>
            <w:shd w:val="clear" w:color="auto" w:fill="auto"/>
            <w:noWrap/>
            <w:vAlign w:val="bottom"/>
            <w:hideMark/>
          </w:tcPr>
          <w:p w14:paraId="18FBD6DC" w14:textId="77777777" w:rsidR="001C2B9F" w:rsidRPr="00103344" w:rsidRDefault="001C2B9F" w:rsidP="001C2B9F">
            <w:pPr>
              <w:rPr>
                <w:rFonts w:ascii="Calibri" w:hAnsi="Calibri" w:cs="Calibri"/>
                <w:color w:val="000000"/>
                <w:lang w:val="sv-SE" w:eastAsia="en-ID"/>
              </w:rPr>
            </w:pPr>
            <w:r w:rsidRPr="00103344">
              <w:rPr>
                <w:rFonts w:ascii="Calibri" w:hAnsi="Calibri" w:cs="Calibri"/>
                <w:color w:val="000000"/>
                <w:lang w:val="sv-SE" w:eastAsia="en-ID"/>
              </w:rPr>
              <w:t>Ruang kantor, perlengkapan kerja, kendaraan dinas, ruang penunjang</w:t>
            </w:r>
          </w:p>
        </w:tc>
        <w:tc>
          <w:tcPr>
            <w:tcW w:w="1984" w:type="dxa"/>
            <w:tcBorders>
              <w:top w:val="nil"/>
              <w:left w:val="nil"/>
              <w:bottom w:val="single" w:sz="4" w:space="0" w:color="auto"/>
              <w:right w:val="single" w:sz="4" w:space="0" w:color="auto"/>
            </w:tcBorders>
            <w:shd w:val="clear" w:color="auto" w:fill="auto"/>
            <w:noWrap/>
            <w:vAlign w:val="bottom"/>
            <w:hideMark/>
          </w:tcPr>
          <w:p w14:paraId="106E87D2" w14:textId="77777777" w:rsidR="001C2B9F" w:rsidRPr="00103344" w:rsidRDefault="001C2B9F" w:rsidP="001C2B9F">
            <w:pPr>
              <w:rPr>
                <w:rFonts w:ascii="Calibri" w:hAnsi="Calibri" w:cs="Calibri"/>
                <w:color w:val="000000"/>
                <w:lang w:val="sv-SE" w:eastAsia="en-ID"/>
              </w:rPr>
            </w:pPr>
            <w:r w:rsidRPr="00103344">
              <w:rPr>
                <w:rFonts w:ascii="Calibri" w:hAnsi="Calibri" w:cs="Calibri"/>
                <w:color w:val="000000"/>
                <w:lang w:val="sv-SE" w:eastAsia="en-ID"/>
              </w:rPr>
              <w:t>Menekankan efisiensi dan efektivitas ruang kerja</w:t>
            </w:r>
          </w:p>
        </w:tc>
        <w:tc>
          <w:tcPr>
            <w:tcW w:w="1692" w:type="dxa"/>
            <w:tcBorders>
              <w:top w:val="nil"/>
              <w:left w:val="nil"/>
              <w:bottom w:val="single" w:sz="4" w:space="0" w:color="auto"/>
              <w:right w:val="single" w:sz="4" w:space="0" w:color="auto"/>
            </w:tcBorders>
            <w:shd w:val="clear" w:color="auto" w:fill="auto"/>
            <w:noWrap/>
            <w:vAlign w:val="bottom"/>
            <w:hideMark/>
          </w:tcPr>
          <w:p w14:paraId="7B5D4B38" w14:textId="77777777" w:rsidR="001C2B9F" w:rsidRPr="00103344" w:rsidRDefault="001C2B9F" w:rsidP="001C2B9F">
            <w:pPr>
              <w:rPr>
                <w:rFonts w:ascii="Calibri" w:hAnsi="Calibri" w:cs="Calibri"/>
                <w:color w:val="000000"/>
                <w:lang w:val="sv-SE" w:eastAsia="en-ID"/>
              </w:rPr>
            </w:pPr>
            <w:r w:rsidRPr="00103344">
              <w:rPr>
                <w:rFonts w:ascii="Calibri" w:hAnsi="Calibri" w:cs="Calibri"/>
                <w:color w:val="000000"/>
                <w:lang w:val="sv-SE" w:eastAsia="en-ID"/>
              </w:rPr>
              <w:t>Tidak langsung relevan dengan pendidikan formal</w:t>
            </w:r>
          </w:p>
        </w:tc>
      </w:tr>
      <w:tr w:rsidR="001C2B9F" w:rsidRPr="001C2B9F" w14:paraId="5699D266" w14:textId="77777777" w:rsidTr="00581198">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CC62CFD" w14:textId="77777777" w:rsidR="001C2B9F" w:rsidRPr="00103344" w:rsidRDefault="001C2B9F" w:rsidP="000206AD">
            <w:pPr>
              <w:jc w:val="center"/>
              <w:rPr>
                <w:rFonts w:ascii="Calibri" w:hAnsi="Calibri" w:cs="Calibri"/>
                <w:color w:val="000000"/>
                <w:lang w:val="en-ID" w:eastAsia="en-ID"/>
              </w:rPr>
            </w:pPr>
            <w:r w:rsidRPr="00103344">
              <w:rPr>
                <w:rFonts w:ascii="Calibri" w:hAnsi="Calibri" w:cs="Calibri"/>
                <w:color w:val="000000"/>
                <w:lang w:val="en-ID" w:eastAsia="en-ID"/>
              </w:rPr>
              <w:lastRenderedPageBreak/>
              <w:t>Permendagri No. 17 Tahun 2007</w:t>
            </w:r>
          </w:p>
        </w:tc>
        <w:tc>
          <w:tcPr>
            <w:tcW w:w="1701" w:type="dxa"/>
            <w:tcBorders>
              <w:top w:val="nil"/>
              <w:left w:val="nil"/>
              <w:bottom w:val="single" w:sz="4" w:space="0" w:color="auto"/>
              <w:right w:val="single" w:sz="4" w:space="0" w:color="auto"/>
            </w:tcBorders>
            <w:shd w:val="clear" w:color="auto" w:fill="auto"/>
            <w:noWrap/>
            <w:vAlign w:val="bottom"/>
            <w:hideMark/>
          </w:tcPr>
          <w:p w14:paraId="69B8D4A7" w14:textId="77777777" w:rsidR="001C2B9F" w:rsidRPr="00103344" w:rsidRDefault="001C2B9F" w:rsidP="001C2B9F">
            <w:pPr>
              <w:rPr>
                <w:rFonts w:ascii="Calibri" w:hAnsi="Calibri" w:cs="Calibri"/>
                <w:color w:val="000000"/>
                <w:lang w:val="sv-SE" w:eastAsia="en-ID"/>
              </w:rPr>
            </w:pPr>
            <w:r w:rsidRPr="00103344">
              <w:rPr>
                <w:rFonts w:ascii="Calibri" w:hAnsi="Calibri" w:cs="Calibri"/>
                <w:color w:val="000000"/>
                <w:lang w:val="sv-SE" w:eastAsia="en-ID"/>
              </w:rPr>
              <w:t>Pedoman teknis pengelolaan barang milik daerah</w:t>
            </w:r>
          </w:p>
        </w:tc>
        <w:tc>
          <w:tcPr>
            <w:tcW w:w="2552" w:type="dxa"/>
            <w:tcBorders>
              <w:top w:val="nil"/>
              <w:left w:val="nil"/>
              <w:bottom w:val="single" w:sz="4" w:space="0" w:color="auto"/>
              <w:right w:val="single" w:sz="4" w:space="0" w:color="auto"/>
            </w:tcBorders>
            <w:shd w:val="clear" w:color="auto" w:fill="auto"/>
            <w:noWrap/>
            <w:vAlign w:val="bottom"/>
            <w:hideMark/>
          </w:tcPr>
          <w:p w14:paraId="72C2F656" w14:textId="77777777" w:rsidR="001C2B9F" w:rsidRPr="00103344" w:rsidRDefault="001C2B9F" w:rsidP="001C2B9F">
            <w:pPr>
              <w:rPr>
                <w:rFonts w:ascii="Calibri" w:hAnsi="Calibri" w:cs="Calibri"/>
                <w:color w:val="000000"/>
                <w:lang w:val="sv-SE" w:eastAsia="en-ID"/>
              </w:rPr>
            </w:pPr>
            <w:r w:rsidRPr="00103344">
              <w:rPr>
                <w:rFonts w:ascii="Calibri" w:hAnsi="Calibri" w:cs="Calibri"/>
                <w:color w:val="000000"/>
                <w:lang w:val="sv-SE" w:eastAsia="en-ID"/>
              </w:rPr>
              <w:t>Tata kelola, pengadaan, dan pemanfaatan sarpras pemerintah daerah</w:t>
            </w:r>
          </w:p>
        </w:tc>
        <w:tc>
          <w:tcPr>
            <w:tcW w:w="1984" w:type="dxa"/>
            <w:tcBorders>
              <w:top w:val="nil"/>
              <w:left w:val="nil"/>
              <w:bottom w:val="single" w:sz="4" w:space="0" w:color="auto"/>
              <w:right w:val="single" w:sz="4" w:space="0" w:color="auto"/>
            </w:tcBorders>
            <w:shd w:val="clear" w:color="auto" w:fill="auto"/>
            <w:noWrap/>
            <w:vAlign w:val="bottom"/>
            <w:hideMark/>
          </w:tcPr>
          <w:p w14:paraId="3C71421F" w14:textId="77777777" w:rsidR="001C2B9F" w:rsidRPr="00103344" w:rsidRDefault="001C2B9F" w:rsidP="001C2B9F">
            <w:pPr>
              <w:rPr>
                <w:rFonts w:ascii="Calibri" w:hAnsi="Calibri" w:cs="Calibri"/>
                <w:color w:val="000000"/>
                <w:lang w:val="en-ID" w:eastAsia="en-ID"/>
              </w:rPr>
            </w:pPr>
            <w:r w:rsidRPr="00103344">
              <w:rPr>
                <w:rFonts w:ascii="Calibri" w:hAnsi="Calibri" w:cs="Calibri"/>
                <w:color w:val="000000"/>
                <w:lang w:val="en-ID" w:eastAsia="en-ID"/>
              </w:rPr>
              <w:t>Mendukung manajemen aset daerah</w:t>
            </w:r>
          </w:p>
        </w:tc>
        <w:tc>
          <w:tcPr>
            <w:tcW w:w="1692" w:type="dxa"/>
            <w:tcBorders>
              <w:top w:val="nil"/>
              <w:left w:val="nil"/>
              <w:bottom w:val="single" w:sz="4" w:space="0" w:color="auto"/>
              <w:right w:val="single" w:sz="4" w:space="0" w:color="auto"/>
            </w:tcBorders>
            <w:shd w:val="clear" w:color="auto" w:fill="auto"/>
            <w:noWrap/>
            <w:vAlign w:val="bottom"/>
            <w:hideMark/>
          </w:tcPr>
          <w:p w14:paraId="600262EC" w14:textId="77777777" w:rsidR="001C2B9F" w:rsidRPr="00103344" w:rsidRDefault="001C2B9F" w:rsidP="001C2B9F">
            <w:pPr>
              <w:rPr>
                <w:rFonts w:ascii="Calibri" w:hAnsi="Calibri" w:cs="Calibri"/>
                <w:color w:val="000000"/>
                <w:lang w:val="en-ID" w:eastAsia="en-ID"/>
              </w:rPr>
            </w:pPr>
            <w:r w:rsidRPr="00103344">
              <w:rPr>
                <w:rFonts w:ascii="Calibri" w:hAnsi="Calibri" w:cs="Calibri"/>
                <w:color w:val="000000"/>
                <w:lang w:val="en-ID" w:eastAsia="en-ID"/>
              </w:rPr>
              <w:t>Fokus lebih administratif, bukan pada proses pembelajaran</w:t>
            </w:r>
          </w:p>
        </w:tc>
      </w:tr>
    </w:tbl>
    <w:p w14:paraId="30BA76FE" w14:textId="77777777" w:rsidR="00273FE2" w:rsidRDefault="00273FE2" w:rsidP="00273FE2">
      <w:pPr>
        <w:ind w:firstLine="720"/>
        <w:jc w:val="both"/>
        <w:rPr>
          <w:rFonts w:ascii="Book Antiqua" w:hAnsi="Book Antiqua"/>
          <w:sz w:val="22"/>
          <w:szCs w:val="22"/>
          <w:shd w:val="clear" w:color="auto" w:fill="FFFFFF"/>
          <w:lang w:val="sv-SE"/>
        </w:rPr>
      </w:pPr>
    </w:p>
    <w:p w14:paraId="42317578" w14:textId="2D805E9D" w:rsidR="00581198" w:rsidRPr="00581198" w:rsidRDefault="00581198" w:rsidP="00273FE2">
      <w:pPr>
        <w:ind w:firstLine="720"/>
        <w:jc w:val="both"/>
        <w:rPr>
          <w:rFonts w:ascii="Book Antiqua" w:hAnsi="Book Antiqua"/>
          <w:sz w:val="22"/>
          <w:szCs w:val="22"/>
          <w:shd w:val="clear" w:color="auto" w:fill="FFFFFF"/>
          <w:lang w:val="sv-SE"/>
        </w:rPr>
      </w:pPr>
      <w:r w:rsidRPr="00581198">
        <w:rPr>
          <w:rFonts w:ascii="Book Antiqua" w:hAnsi="Book Antiqua"/>
          <w:sz w:val="22"/>
          <w:szCs w:val="22"/>
          <w:shd w:val="clear" w:color="auto" w:fill="FFFFFF"/>
          <w:lang w:val="sv-SE"/>
        </w:rPr>
        <w:t>Berdasarkan Tabel 1, terlihat bahwa regulasi mengenai sarana dan prasarana pendidikan di Indonesia telah mengalami perkembangan dari waktu ke waktu. PP No. 19 Tahun 2005 menjadi dasar hukum pertama yang menekankan pentingnya standar minimal sarana prasarana pendidikan, seperti ruang belajar, perpustakaan, laboratorium, dan fasilitas penunjang lainnya. Regulasi ini kemudian diperkuat oleh Permendiknas No. 24 Tahun 2007 yang secara lebih rinci menetapkan kriteria minimal untuk tiap jenjang pendidikan, mulai dari SD/MI hingga SMA/MA.</w:t>
      </w:r>
    </w:p>
    <w:p w14:paraId="7E7447BE" w14:textId="77777777" w:rsidR="00581198" w:rsidRPr="00581198" w:rsidRDefault="00581198" w:rsidP="00273FE2">
      <w:pPr>
        <w:ind w:firstLine="720"/>
        <w:jc w:val="both"/>
        <w:rPr>
          <w:rFonts w:ascii="Book Antiqua" w:hAnsi="Book Antiqua"/>
          <w:sz w:val="22"/>
          <w:szCs w:val="22"/>
          <w:shd w:val="clear" w:color="auto" w:fill="FFFFFF"/>
          <w:lang w:val="sv-SE"/>
        </w:rPr>
      </w:pPr>
      <w:r w:rsidRPr="00581198">
        <w:rPr>
          <w:rFonts w:ascii="Book Antiqua" w:hAnsi="Book Antiqua"/>
          <w:sz w:val="22"/>
          <w:szCs w:val="22"/>
          <w:shd w:val="clear" w:color="auto" w:fill="FFFFFF"/>
          <w:lang w:val="sv-SE"/>
        </w:rPr>
        <w:t>Selanjutnya, Permendikbud No. 127 Tahun 2014 memberikan pengaturan yang lebih operasional, khususnya untuk Lembaga Kursus dan Pelatihan (LKP), dengan menambahkan detail sarana praktik dan ruang penunjang. Hal ini menunjukkan adanya pergeseran dari regulasi yang hanya bersifat normatif ke arah regulasi yang lebih aplikatif. Sementara itu, Permen PAN-RB No. 48 Tahun 2013 dan Permendagri No. 17 Tahun 2007 memperlihatkan bahwa manajemen sarana prasarana tidak hanya menjadi tanggung jawab sektor pendidikan, tetapi juga lintas kementerian, khususnya terkait efisiensi penggunaan ruang dan pengelolaan aset daerah.</w:t>
      </w:r>
    </w:p>
    <w:p w14:paraId="4DF14B58" w14:textId="77777777" w:rsidR="00581198" w:rsidRPr="00581198" w:rsidRDefault="00581198" w:rsidP="00A8335D">
      <w:pPr>
        <w:ind w:firstLine="720"/>
        <w:jc w:val="both"/>
        <w:rPr>
          <w:rFonts w:ascii="Book Antiqua" w:hAnsi="Book Antiqua"/>
          <w:sz w:val="22"/>
          <w:szCs w:val="22"/>
          <w:shd w:val="clear" w:color="auto" w:fill="FFFFFF"/>
          <w:lang w:val="sv-SE"/>
        </w:rPr>
      </w:pPr>
      <w:r w:rsidRPr="00581198">
        <w:rPr>
          <w:rFonts w:ascii="Book Antiqua" w:hAnsi="Book Antiqua"/>
          <w:sz w:val="22"/>
          <w:szCs w:val="22"/>
          <w:shd w:val="clear" w:color="auto" w:fill="FFFFFF"/>
          <w:lang w:val="sv-SE"/>
        </w:rPr>
        <w:t>Dari hasil analisis ini, dapat dipahami bahwa meskipun regulasi sudah cukup lengkap, masih terdapat kesenjangan dalam implementasi. Banyak sekolah, khususnya di daerah, belum mampu memenuhi standar yang ditetapkan. Oleh karena itu, penguatan manajemen sarana prasarana di tingkat satuan pendidikan menjadi sangat penting, agar regulasi yang ada tidak hanya menjadi dokumen normatif, tetapi juga benar-benar dapat diimplementasikan untuk meningkatkan mutu pendidikan.</w:t>
      </w:r>
    </w:p>
    <w:p w14:paraId="0B511840" w14:textId="77777777" w:rsidR="003B626D" w:rsidRPr="00200A06" w:rsidRDefault="003B626D" w:rsidP="00032D80">
      <w:pPr>
        <w:spacing w:line="276" w:lineRule="auto"/>
        <w:jc w:val="both"/>
        <w:rPr>
          <w:rFonts w:ascii="Book Antiqua" w:hAnsi="Book Antiqua"/>
          <w:sz w:val="22"/>
          <w:szCs w:val="22"/>
          <w:shd w:val="clear" w:color="auto" w:fill="FFFFFF"/>
          <w:lang w:val="sv-SE"/>
        </w:rPr>
      </w:pPr>
    </w:p>
    <w:p w14:paraId="5E5C2018" w14:textId="331C2EE2" w:rsidR="003B626D" w:rsidRPr="00200A06" w:rsidRDefault="003B626D" w:rsidP="00032D80">
      <w:pPr>
        <w:spacing w:line="276" w:lineRule="auto"/>
        <w:jc w:val="both"/>
        <w:rPr>
          <w:rFonts w:ascii="Book Antiqua" w:hAnsi="Book Antiqua"/>
          <w:sz w:val="22"/>
          <w:szCs w:val="22"/>
          <w:shd w:val="clear" w:color="auto" w:fill="FFFFFF"/>
          <w:lang w:val="sv-SE"/>
        </w:rPr>
      </w:pPr>
      <w:r w:rsidRPr="00200A06">
        <w:rPr>
          <w:rFonts w:ascii="Book Antiqua" w:hAnsi="Book Antiqua"/>
          <w:b/>
          <w:bCs/>
          <w:sz w:val="22"/>
          <w:szCs w:val="22"/>
          <w:shd w:val="clear" w:color="auto" w:fill="FFFFFF"/>
          <w:lang w:val="sv-SE"/>
        </w:rPr>
        <w:t>PEMBAHASAN</w:t>
      </w:r>
    </w:p>
    <w:p w14:paraId="2C13C77F" w14:textId="7FE81454" w:rsidR="00F91B28" w:rsidRPr="00F91B28" w:rsidRDefault="00F91B28" w:rsidP="008137D6">
      <w:pPr>
        <w:ind w:firstLine="567"/>
        <w:jc w:val="both"/>
        <w:rPr>
          <w:rFonts w:ascii="Book Antiqua" w:hAnsi="Book Antiqua"/>
          <w:sz w:val="22"/>
          <w:szCs w:val="22"/>
          <w:shd w:val="clear" w:color="auto" w:fill="FFFFFF"/>
          <w:lang w:val="sv-SE"/>
        </w:rPr>
      </w:pPr>
      <w:r w:rsidRPr="00F91B28">
        <w:rPr>
          <w:rFonts w:ascii="Book Antiqua" w:hAnsi="Book Antiqua"/>
          <w:sz w:val="22"/>
          <w:szCs w:val="22"/>
          <w:shd w:val="clear" w:color="auto" w:fill="FFFFFF"/>
          <w:lang w:val="sv-SE"/>
        </w:rPr>
        <w:t xml:space="preserve">Regulasi sarana prasarana yang telah ditetapkan pemerintah menunjukkan adanya keseriusan dalam membangun mutu pendidikan nasional. Dari PP No. 19 Tahun 2005 hingga Permendikbud No. 127 Tahun 2014, pemerintah secara bertahap memperkuat standar minimal sarana prasarana pendidikan. Hal ini sejalan dengan pandangan </w:t>
      </w:r>
      <w:r w:rsidR="0081380B">
        <w:rPr>
          <w:rFonts w:ascii="Book Antiqua" w:hAnsi="Book Antiqua"/>
          <w:sz w:val="22"/>
          <w:szCs w:val="22"/>
          <w:shd w:val="clear" w:color="auto" w:fill="FFFFFF"/>
          <w:lang w:val="sv-SE"/>
        </w:rPr>
        <w:fldChar w:fldCharType="begin" w:fldLock="1"/>
      </w:r>
      <w:r w:rsidR="00213E4A">
        <w:rPr>
          <w:rFonts w:ascii="Book Antiqua" w:hAnsi="Book Antiqua"/>
          <w:sz w:val="22"/>
          <w:szCs w:val="22"/>
          <w:shd w:val="clear" w:color="auto" w:fill="FFFFFF"/>
          <w:lang w:val="sv-SE"/>
        </w:rPr>
        <w:instrText>ADDIN CSL_CITATION {"citationItems":[{"id":"ITEM-1","itemData":{"DOI":"10.12928/ijemi.v1i1.1516","abstract":"Facilities and infrastructures in education are essential to improve the quality of the teaching and learning process in schools. Principals are responsible for managing facilities and infrastructures in schools. The implementation of learning to teach in schools will be subjected to obstacles when facilities and infrastructure are inadequate. The purpose of this research is 1) describing the importance of facilities and infrastructure in improving the quality of learning, 2) Knowing how to plan, manage, use and maintenance of facilities and infrastructure in schools, 3) indicators Management of good infrastructure for the improvement of School quality 4) school readiness in preparing facilities and infrastructure to support learning in the 4.0 era. The case study used in MTS Muhammadiyah Sidomulyo. The research used in this research is descriptive qualitative research. Data collection techniques using interviews, observation, and documentation. The results of the research show that the headmaster is planning in fulfilling facilities and infrastructure tailored to the level of needs each year. The planning will be known as management indicators of any infrastructure which is a good or most significant influence on the improvement of the quality of the school. Precisely the use of facilities and infrastructure can improve the quality of learning in Mts Muhammadiyah Sidomulyo. Damaged facilities and infrastructure will be given repairs. If no longer repaired, the school will apply for new procurement. All parties in the school must maintain existing facilities, and infrastructures to improve the quality of learning.","author":[{"dropping-particle":"","family":"Siswanto","given":"Edy","non-dropping-particle":"","parse-names":false,"suffix":""},{"dropping-particle":"","family":"Hidayati","given":"Dian","non-dropping-particle":"","parse-names":false,"suffix":""}],"container-title":"International Journal of Educational Management and Innovation","id":"ITEM-1","issue":"1","issued":{"date-parts":[["2020"]]},"page":"69","title":"Management Indicators of Good Infrastructure Facilities To Improve School Quality","type":"article-journal","volume":"1"},"uris":["http://www.mendeley.com/documents/?uuid=b48a3a06-aaef-40e8-8de2-24013b68418c"]}],"mendeley":{"formattedCitation":"(Siswanto &amp; Hidayati, 2020)","plainTextFormattedCitation":"(Siswanto &amp; Hidayati, 2020)","previouslyFormattedCitation":"(Siswanto &amp; Hidayati, 2020)"},"properties":{"noteIndex":0},"schema":"https://github.com/citation-style-language/schema/raw/master/csl-citation.json"}</w:instrText>
      </w:r>
      <w:r w:rsidR="0081380B">
        <w:rPr>
          <w:rFonts w:ascii="Book Antiqua" w:hAnsi="Book Antiqua"/>
          <w:sz w:val="22"/>
          <w:szCs w:val="22"/>
          <w:shd w:val="clear" w:color="auto" w:fill="FFFFFF"/>
          <w:lang w:val="sv-SE"/>
        </w:rPr>
        <w:fldChar w:fldCharType="separate"/>
      </w:r>
      <w:r w:rsidR="0081380B" w:rsidRPr="0081380B">
        <w:rPr>
          <w:rFonts w:ascii="Book Antiqua" w:hAnsi="Book Antiqua"/>
          <w:noProof/>
          <w:sz w:val="22"/>
          <w:szCs w:val="22"/>
          <w:shd w:val="clear" w:color="auto" w:fill="FFFFFF"/>
          <w:lang w:val="sv-SE"/>
        </w:rPr>
        <w:t>(Siswanto &amp; Hidayati, 2020)</w:t>
      </w:r>
      <w:r w:rsidR="0081380B">
        <w:rPr>
          <w:rFonts w:ascii="Book Antiqua" w:hAnsi="Book Antiqua"/>
          <w:sz w:val="22"/>
          <w:szCs w:val="22"/>
          <w:shd w:val="clear" w:color="auto" w:fill="FFFFFF"/>
          <w:lang w:val="sv-SE"/>
        </w:rPr>
        <w:fldChar w:fldCharType="end"/>
      </w:r>
      <w:r w:rsidRPr="00F91B28">
        <w:rPr>
          <w:rFonts w:ascii="Book Antiqua" w:hAnsi="Book Antiqua"/>
          <w:sz w:val="22"/>
          <w:szCs w:val="22"/>
          <w:shd w:val="clear" w:color="auto" w:fill="FFFFFF"/>
          <w:lang w:val="sv-SE"/>
        </w:rPr>
        <w:t xml:space="preserve"> bahwa keberadaan sarana prasarana yang memadai merupakan indikator penting dalam meningkatkan kualitas sekolah. Saya memahami bahwa regulasi ini memberi kerangka hukum yang jelas, tetapi keberhasilannya tetap sangat ditentukan oleh kemampuan manajemen sekolah dalam mengimplementasikan aturan tersebut.</w:t>
      </w:r>
      <w:r w:rsidR="003905CF">
        <w:rPr>
          <w:rFonts w:ascii="Book Antiqua" w:hAnsi="Book Antiqua"/>
          <w:sz w:val="22"/>
          <w:szCs w:val="22"/>
          <w:shd w:val="clear" w:color="auto" w:fill="FFFFFF"/>
          <w:lang w:val="sv-SE"/>
        </w:rPr>
        <w:t xml:space="preserve"> </w:t>
      </w:r>
      <w:r w:rsidRPr="00F91B28">
        <w:rPr>
          <w:rFonts w:ascii="Book Antiqua" w:hAnsi="Book Antiqua"/>
          <w:sz w:val="22"/>
          <w:szCs w:val="22"/>
          <w:shd w:val="clear" w:color="auto" w:fill="FFFFFF"/>
          <w:lang w:val="sv-SE"/>
        </w:rPr>
        <w:t xml:space="preserve">Jika ditinjau dari perspektif manajemen, regulasi sarana prasarana sebenarnya tidak hanya soal ketersediaan fisik, tetapi juga mencakup proses perencanaan, pengadaan, pemeliharaan, pendayagunaan, hingga penghapusan aset </w:t>
      </w:r>
      <w:r w:rsidR="00213E4A">
        <w:rPr>
          <w:rFonts w:ascii="Book Antiqua" w:hAnsi="Book Antiqua"/>
          <w:sz w:val="22"/>
          <w:szCs w:val="22"/>
          <w:shd w:val="clear" w:color="auto" w:fill="FFFFFF"/>
          <w:lang w:val="sv-SE"/>
        </w:rPr>
        <w:fldChar w:fldCharType="begin" w:fldLock="1"/>
      </w:r>
      <w:r w:rsidR="00213E4A">
        <w:rPr>
          <w:rFonts w:ascii="Book Antiqua" w:hAnsi="Book Antiqua"/>
          <w:sz w:val="22"/>
          <w:szCs w:val="22"/>
          <w:shd w:val="clear" w:color="auto" w:fill="FFFFFF"/>
          <w:lang w:val="sv-SE"/>
        </w:rPr>
        <w:instrText>ADDIN CSL_CITATION {"citationItems":[{"id":"ITEM-1","itemData":{"ISBN":"1031810323","ISSN":"2654-5497","abstract":"This study aim to describe the efforts made in meeting the standards of facilities and infrastructure in implementing school-based management in an Islamic school in East Kalimantan. The research also describes community empowerment in the school environment and describes the supporting and inhibiting factors in implementing school-based management in meeting the standards of facilities and infrastructure. The place that the writer used as the research object was at one of the Islamic schools located in Samarinda, East Kalimantan. The time that the author uses to conduct research is from September 2022 to October 2022. In this look at the writer makes use of a descriptive qualitative approach, that is, a examine aimed at describing and studying phenomena, events, social sports, attitudes, ideals, perceptions, humans's mind in my opinion or in agencies. More than one descriptions are used to locate ideas and reasons that cause conclusions. Implementation of School-Based Management in Compliance with Infrastructure Standards in schools has been well managed and in accordance with the basic needs of schools regarding compliance with infrastructure standards.","author":[{"dropping-particle":"","family":"Destari","given":"Dina","non-dropping-particle":"","parse-names":false,"suffix":""},{"dropping-particle":"","family":"Saufi","given":"M","non-dropping-particle":"","parse-names":false,"suffix":""},{"dropping-particle":"","family":"Arijanti","given":"Susi","non-dropping-particle":"","parse-names":false,"suffix":""},{"dropping-particle":"Al","family":"Haddar","given":"Gamar","non-dropping-particle":"","parse-names":false,"suffix":""},{"dropping-particle":"","family":"Kasmilawati","given":"Isna","non-dropping-particle":"","parse-names":false,"suffix":""}],"container-title":"Journal on Education","id":"ITEM-1","issue":"3","issued":{"date-parts":[["2023"]]},"page":"10318-10323","title":"The Implementation of School-Based Management in Supporting Standard of School Infrastructure and Facilities in Islamic Private School","type":"article-journal","volume":"5"},"uris":["http://www.mendeley.com/documents/?uuid=42f762d2-2d90-4350-85c8-04d2ef6cc738"]}],"mendeley":{"formattedCitation":"(Destari et al., 2023)","plainTextFormattedCitation":"(Destari et al., 2023)","previouslyFormattedCitation":"(Destari et al., 2023)"},"properties":{"noteIndex":0},"schema":"https://github.com/citation-style-language/schema/raw/master/csl-citation.json"}</w:instrText>
      </w:r>
      <w:r w:rsidR="00213E4A">
        <w:rPr>
          <w:rFonts w:ascii="Book Antiqua" w:hAnsi="Book Antiqua"/>
          <w:sz w:val="22"/>
          <w:szCs w:val="22"/>
          <w:shd w:val="clear" w:color="auto" w:fill="FFFFFF"/>
          <w:lang w:val="sv-SE"/>
        </w:rPr>
        <w:fldChar w:fldCharType="separate"/>
      </w:r>
      <w:r w:rsidR="00213E4A" w:rsidRPr="00213E4A">
        <w:rPr>
          <w:rFonts w:ascii="Book Antiqua" w:hAnsi="Book Antiqua"/>
          <w:noProof/>
          <w:sz w:val="22"/>
          <w:szCs w:val="22"/>
          <w:shd w:val="clear" w:color="auto" w:fill="FFFFFF"/>
          <w:lang w:val="sv-SE"/>
        </w:rPr>
        <w:t>(Destari et al., 2023)</w:t>
      </w:r>
      <w:r w:rsidR="00213E4A">
        <w:rPr>
          <w:rFonts w:ascii="Book Antiqua" w:hAnsi="Book Antiqua"/>
          <w:sz w:val="22"/>
          <w:szCs w:val="22"/>
          <w:shd w:val="clear" w:color="auto" w:fill="FFFFFF"/>
          <w:lang w:val="sv-SE"/>
        </w:rPr>
        <w:fldChar w:fldCharType="end"/>
      </w:r>
      <w:r w:rsidRPr="00F91B28">
        <w:rPr>
          <w:rFonts w:ascii="Book Antiqua" w:hAnsi="Book Antiqua"/>
          <w:sz w:val="22"/>
          <w:szCs w:val="22"/>
          <w:shd w:val="clear" w:color="auto" w:fill="FFFFFF"/>
          <w:lang w:val="sv-SE"/>
        </w:rPr>
        <w:t>. Dari sini terlihat bahwa manajemen sarpras merupakan proses berkelanjutan yang menuntut kompetensi dan perencanaan strategis.</w:t>
      </w:r>
    </w:p>
    <w:p w14:paraId="37D84230" w14:textId="33136A85" w:rsidR="00F91B28" w:rsidRPr="003905CF" w:rsidRDefault="00F91B28" w:rsidP="0081380B">
      <w:pPr>
        <w:ind w:firstLine="567"/>
        <w:jc w:val="both"/>
        <w:rPr>
          <w:rFonts w:ascii="Book Antiqua" w:hAnsi="Book Antiqua"/>
          <w:sz w:val="22"/>
          <w:szCs w:val="22"/>
          <w:shd w:val="clear" w:color="auto" w:fill="FFFFFF"/>
          <w:lang w:val="sv-SE"/>
        </w:rPr>
      </w:pPr>
      <w:r w:rsidRPr="00F91B28">
        <w:rPr>
          <w:rFonts w:ascii="Book Antiqua" w:hAnsi="Book Antiqua"/>
          <w:sz w:val="22"/>
          <w:szCs w:val="22"/>
          <w:shd w:val="clear" w:color="auto" w:fill="FFFFFF"/>
          <w:lang w:val="sv-SE"/>
        </w:rPr>
        <w:t xml:space="preserve">Namun, gap yang muncul adalah banyak sekolah di daerah belum mampu memenuhi standar yang telah ditetapkan. </w:t>
      </w:r>
      <w:r w:rsidR="00213E4A">
        <w:rPr>
          <w:rFonts w:ascii="Book Antiqua" w:hAnsi="Book Antiqua"/>
          <w:sz w:val="22"/>
          <w:szCs w:val="22"/>
          <w:shd w:val="clear" w:color="auto" w:fill="FFFFFF"/>
          <w:lang w:val="sv-SE"/>
        </w:rPr>
        <w:fldChar w:fldCharType="begin" w:fldLock="1"/>
      </w:r>
      <w:r w:rsidR="00213E4A">
        <w:rPr>
          <w:rFonts w:ascii="Book Antiqua" w:hAnsi="Book Antiqua"/>
          <w:sz w:val="22"/>
          <w:szCs w:val="22"/>
          <w:shd w:val="clear" w:color="auto" w:fill="FFFFFF"/>
          <w:lang w:val="sv-SE"/>
        </w:rPr>
        <w:instrText>ADDIN CSL_CITATION {"citationItems":[{"id":"ITEM-1","itemData":{"DOI":"10.17512/znpcz.2021.2.05","ISSN":"20831560","abstract":"The education system in Indonesia has two main sub-systems, one under the management of the Ministry of Education and Culture (MoEC), and madrasah education and religious education under the management of the Ministry of Religious Affairs (MoRA). Out of approximately 233,517 state schools and madrasah, about 82% are state schools and the remaining 18% are madrasah; and out of 49,402,000 students from these institutions, 87% are registered in-state schools and other 13% are registered in madrasah. Indonesian laws and regulations require state schools and madrasah to be treated equally. Moreover, madrasah teaches the same national curriculum in addition to Islamic religious subjects regulated by MoRA. The author tried to define the current circumstance of Islamic education in Indonesia, the academic issues that the government faces and sought possible solutions for them through field surveys and data analysis methods used throughout the investigation. The found data show that improper infrastructure of government contribution towards public education including religious education, and limited quota in pedagogical universities lead to a shortage of teachers in rural areas. The government of Indonesia needs further educational reforms in the area of public education, teacher training, and re-training programs, and increasing teachers’ salaries. School dropouts, shortage of well-qualified teachers, and school fees challenge the national education system in the country.","author":[{"dropping-particle":"","family":"Shaturaev","given":"Jakhongir","non-dropping-particle":"","parse-names":false,"suffix":""}],"container-title":"Zeszyty Naukowe Politechniki Częstochowskiej Zarządzanie","id":"ITEM-1","issue":"1","issued":{"date-parts":[["2021"]]},"page":"57-65","title":"Financing and Management of Islamic (Madrasah) Education in Indonesia","type":"article-journal","volume":"42"},"uris":["http://www.mendeley.com/documents/?uuid=647babd9-e5c0-4b96-91b7-62d8251e880f"]}],"mendeley":{"formattedCitation":"(Shaturaev, 2021)","plainTextFormattedCitation":"(Shaturaev, 2021)","previouslyFormattedCitation":"(Shaturaev, 2021)"},"properties":{"noteIndex":0},"schema":"https://github.com/citation-style-language/schema/raw/master/csl-citation.json"}</w:instrText>
      </w:r>
      <w:r w:rsidR="00213E4A">
        <w:rPr>
          <w:rFonts w:ascii="Book Antiqua" w:hAnsi="Book Antiqua"/>
          <w:sz w:val="22"/>
          <w:szCs w:val="22"/>
          <w:shd w:val="clear" w:color="auto" w:fill="FFFFFF"/>
          <w:lang w:val="sv-SE"/>
        </w:rPr>
        <w:fldChar w:fldCharType="separate"/>
      </w:r>
      <w:r w:rsidR="00213E4A" w:rsidRPr="00213E4A">
        <w:rPr>
          <w:rFonts w:ascii="Book Antiqua" w:hAnsi="Book Antiqua"/>
          <w:noProof/>
          <w:sz w:val="22"/>
          <w:szCs w:val="22"/>
          <w:shd w:val="clear" w:color="auto" w:fill="FFFFFF"/>
          <w:lang w:val="sv-SE"/>
        </w:rPr>
        <w:t>(Shaturaev, 2021)</w:t>
      </w:r>
      <w:r w:rsidR="00213E4A">
        <w:rPr>
          <w:rFonts w:ascii="Book Antiqua" w:hAnsi="Book Antiqua"/>
          <w:sz w:val="22"/>
          <w:szCs w:val="22"/>
          <w:shd w:val="clear" w:color="auto" w:fill="FFFFFF"/>
          <w:lang w:val="sv-SE"/>
        </w:rPr>
        <w:fldChar w:fldCharType="end"/>
      </w:r>
      <w:r w:rsidRPr="00F91B28">
        <w:rPr>
          <w:rFonts w:ascii="Book Antiqua" w:hAnsi="Book Antiqua"/>
          <w:sz w:val="22"/>
          <w:szCs w:val="22"/>
          <w:shd w:val="clear" w:color="auto" w:fill="FFFFFF"/>
          <w:lang w:val="sv-SE"/>
        </w:rPr>
        <w:t xml:space="preserve"> menunjukkan bahwa keterbatasan anggaran dan ketimpangan antar daerah menjadi hambatan utama dalam penyediaan sarpras. Hal ini membuat regulasi yang sudah lengkap tetap sulit diimplementasikan secara merata. Saya melihat bahwa faktor manajemen juga berperan penting, karena beberapa sekolah dengan keterbatasan dana masih mampu mengoptimalkan sarpras melalui pemeliharaan dan pendayagunaan yang baik.</w:t>
      </w:r>
      <w:r w:rsidR="0081380B">
        <w:rPr>
          <w:rFonts w:ascii="Book Antiqua" w:hAnsi="Book Antiqua"/>
          <w:sz w:val="22"/>
          <w:szCs w:val="22"/>
          <w:shd w:val="clear" w:color="auto" w:fill="FFFFFF"/>
          <w:lang w:val="sv-SE"/>
        </w:rPr>
        <w:t xml:space="preserve"> </w:t>
      </w:r>
      <w:r w:rsidRPr="00F91B28">
        <w:rPr>
          <w:rFonts w:ascii="Book Antiqua" w:hAnsi="Book Antiqua"/>
          <w:sz w:val="22"/>
          <w:szCs w:val="22"/>
          <w:shd w:val="clear" w:color="auto" w:fill="FFFFFF"/>
          <w:lang w:val="sv-SE"/>
        </w:rPr>
        <w:t>Selain itu, tuntutan abad ke-21 membawa dimensi baru dalam pengelolaan sarana prasarana. Pramana</w:t>
      </w:r>
      <w:r w:rsidR="00213E4A">
        <w:rPr>
          <w:rFonts w:ascii="Book Antiqua" w:hAnsi="Book Antiqua"/>
          <w:sz w:val="22"/>
          <w:szCs w:val="22"/>
          <w:shd w:val="clear" w:color="auto" w:fill="FFFFFF"/>
          <w:lang w:val="sv-SE"/>
        </w:rPr>
        <w:t xml:space="preserve">, </w:t>
      </w:r>
      <w:r w:rsidR="00213E4A">
        <w:rPr>
          <w:rFonts w:ascii="Book Antiqua" w:hAnsi="Book Antiqua"/>
          <w:sz w:val="22"/>
          <w:szCs w:val="22"/>
          <w:shd w:val="clear" w:color="auto" w:fill="FFFFFF"/>
          <w:lang w:val="sv-SE"/>
        </w:rPr>
        <w:fldChar w:fldCharType="begin" w:fldLock="1"/>
      </w:r>
      <w:r w:rsidR="00782080">
        <w:rPr>
          <w:rFonts w:ascii="Book Antiqua" w:hAnsi="Book Antiqua"/>
          <w:sz w:val="22"/>
          <w:szCs w:val="22"/>
          <w:shd w:val="clear" w:color="auto" w:fill="FFFFFF"/>
          <w:lang w:val="sv-SE"/>
        </w:rPr>
        <w:instrText>ADDIN CSL_CITATION {"citationItems":[{"id":"ITEM-1","itemData":{"abstract":"A good and quality education system will produce quality human resources who can compete in the international world. Education is the main foundation in the formation of human resources so that it can strength then the resilience of the nation and state. However, it cannot be denied that the quality of education in Indonesia is still far from expectations when compared to other more developed countries. The results of the Political and Economic Risk Consultancy (PERC) survey conducted in 2000 regarding the quality of education in the Asian region, Indonesia was ranked 12th behind Vietnam. Based on the Human development index Ranking 2019, Indonesia is ranked 111 out of 189 countries. This article will present the problems faced in the world of higher education in Indonesia. Several factors that affect the level of education quality include curriculum, educational policies, educational facilities, application of information and communication technology in education, affordable education costs, education management, and human resources. So that the solution to the solution is to make efforts to improve the curriculum, educational facilities, and educational management.","author":[{"dropping-particle":"","family":"Pramana","given":"Cipta","non-dropping-particle":"","parse-names":false,"suffix":""},{"dropping-particle":"","family":"Chamidah","given":"Dina","non-dropping-particle":"","parse-names":false,"suffix":""},{"dropping-particle":"","family":"Suyatno","given":"Suyatno","non-dropping-particle":"","parse-names":false,"suffix":""},{"dropping-particle":"","family":"Renadi","given":"Faiza","non-dropping-particle":"","parse-names":false,"suffix":""},{"dropping-particle":"","family":"Syaharuddin","given":"Syaharuddin","non-dropping-particle":"","parse-names":false,"suffix":""}],"container-title":"Turkish Online Journal of Qualitative Inquiry (TOJQI)","id":"ITEM-1","issue":"3","issued":{"date-parts":[["2021"]]},"page":"1977- 1994","title":"Strategies to improved education quality in Indonesia: A review","type":"article-journal","volume":"12"},"uris":["http://www.mendeley.com/documents/?uuid=a8aeb3f0-bd12-417e-9f7b-6b1e31ffa6f3"]}],"mendeley":{"formattedCitation":"(Pramana et al., 2021)","plainTextFormattedCitation":"(Pramana et al., 2021)","previouslyFormattedCitation":"(Pramana et al., 2021)"},"properties":{"noteIndex":0},"schema":"https://github.com/citation-style-language/schema/raw/master/csl-citation.json"}</w:instrText>
      </w:r>
      <w:r w:rsidR="00213E4A">
        <w:rPr>
          <w:rFonts w:ascii="Book Antiqua" w:hAnsi="Book Antiqua"/>
          <w:sz w:val="22"/>
          <w:szCs w:val="22"/>
          <w:shd w:val="clear" w:color="auto" w:fill="FFFFFF"/>
          <w:lang w:val="sv-SE"/>
        </w:rPr>
        <w:fldChar w:fldCharType="separate"/>
      </w:r>
      <w:r w:rsidR="00213E4A" w:rsidRPr="00213E4A">
        <w:rPr>
          <w:rFonts w:ascii="Book Antiqua" w:hAnsi="Book Antiqua"/>
          <w:noProof/>
          <w:sz w:val="22"/>
          <w:szCs w:val="22"/>
          <w:shd w:val="clear" w:color="auto" w:fill="FFFFFF"/>
          <w:lang w:val="sv-SE"/>
        </w:rPr>
        <w:t>(Pramana et al., 2021)</w:t>
      </w:r>
      <w:r w:rsidR="00213E4A">
        <w:rPr>
          <w:rFonts w:ascii="Book Antiqua" w:hAnsi="Book Antiqua"/>
          <w:sz w:val="22"/>
          <w:szCs w:val="22"/>
          <w:shd w:val="clear" w:color="auto" w:fill="FFFFFF"/>
          <w:lang w:val="sv-SE"/>
        </w:rPr>
        <w:fldChar w:fldCharType="end"/>
      </w:r>
      <w:r w:rsidRPr="00F91B28">
        <w:rPr>
          <w:rFonts w:ascii="Book Antiqua" w:hAnsi="Book Antiqua"/>
          <w:sz w:val="22"/>
          <w:szCs w:val="22"/>
          <w:shd w:val="clear" w:color="auto" w:fill="FFFFFF"/>
          <w:lang w:val="sv-SE"/>
        </w:rPr>
        <w:t xml:space="preserve"> menekankan pentingnya integrasi teknologi dalam pendidikan. Artinya, regulasi yang ada perlu diperbarui agar tidak hanya berfokus pada kelengkapan fisik </w:t>
      </w:r>
      <w:r w:rsidRPr="00F91B28">
        <w:rPr>
          <w:rFonts w:ascii="Book Antiqua" w:hAnsi="Book Antiqua"/>
          <w:sz w:val="22"/>
          <w:szCs w:val="22"/>
          <w:shd w:val="clear" w:color="auto" w:fill="FFFFFF"/>
          <w:lang w:val="sv-SE"/>
        </w:rPr>
        <w:lastRenderedPageBreak/>
        <w:t>seperti ruang kelas dan perpustakaan, tetapi juga infrastruktur digital seperti jaringan internet, perangkat TIK, dan sistem manajemen pembelajaran daring.</w:t>
      </w:r>
      <w:r>
        <w:rPr>
          <w:rFonts w:ascii="Book Antiqua" w:hAnsi="Book Antiqua"/>
          <w:sz w:val="22"/>
          <w:szCs w:val="22"/>
          <w:shd w:val="clear" w:color="auto" w:fill="FFFFFF"/>
          <w:lang w:val="sv-SE"/>
        </w:rPr>
        <w:tab/>
      </w:r>
      <w:r w:rsidR="00213E4A">
        <w:rPr>
          <w:rFonts w:ascii="Book Antiqua" w:hAnsi="Book Antiqua"/>
          <w:sz w:val="22"/>
          <w:szCs w:val="22"/>
          <w:shd w:val="clear" w:color="auto" w:fill="FFFFFF"/>
          <w:lang w:val="sv-SE"/>
        </w:rPr>
        <w:tab/>
      </w:r>
      <w:r>
        <w:rPr>
          <w:rFonts w:ascii="Book Antiqua" w:hAnsi="Book Antiqua"/>
          <w:sz w:val="22"/>
          <w:szCs w:val="22"/>
          <w:shd w:val="clear" w:color="auto" w:fill="FFFFFF"/>
          <w:lang w:val="sv-SE"/>
        </w:rPr>
        <w:tab/>
      </w:r>
      <w:r>
        <w:rPr>
          <w:rFonts w:ascii="Book Antiqua" w:hAnsi="Book Antiqua"/>
          <w:sz w:val="22"/>
          <w:szCs w:val="22"/>
          <w:shd w:val="clear" w:color="auto" w:fill="FFFFFF"/>
          <w:lang w:val="sv-SE"/>
        </w:rPr>
        <w:tab/>
      </w:r>
      <w:r>
        <w:rPr>
          <w:rFonts w:ascii="Book Antiqua" w:hAnsi="Book Antiqua"/>
          <w:sz w:val="22"/>
          <w:szCs w:val="22"/>
          <w:shd w:val="clear" w:color="auto" w:fill="FFFFFF"/>
          <w:lang w:val="sv-SE"/>
        </w:rPr>
        <w:tab/>
      </w:r>
      <w:r w:rsidRPr="003905CF">
        <w:rPr>
          <w:rFonts w:ascii="Book Antiqua" w:hAnsi="Book Antiqua"/>
          <w:sz w:val="22"/>
          <w:szCs w:val="22"/>
          <w:shd w:val="clear" w:color="auto" w:fill="FFFFFF"/>
          <w:lang w:val="sv-SE"/>
        </w:rPr>
        <w:t>Dari uraian di atas dapat dipahami bahwa regulasi mengenai sarana dan prasarana pendidikan di Indonesia sudah cukup lengkap, mulai dari standar minimal hingga pedoman teknis yang lebih operasional. Regulasi tersebut menegaskan pentingnya sarpras sebagai komponen kunci dalam peningkatan mutu pendidikan. Namun, realitas di lapangan menunjukkan adanya kesenjangan antara regulasi dan implementasi, terutama di daerah yang masih menghadapi keterbatasan anggaran, ketimpangan akses, serta lemahnya manajemen fasilitas pendidikan.</w:t>
      </w:r>
    </w:p>
    <w:p w14:paraId="2964F387" w14:textId="62EA00F8" w:rsidR="00F91B28" w:rsidRPr="00F91B28" w:rsidRDefault="00F91B28" w:rsidP="008137D6">
      <w:pPr>
        <w:ind w:firstLine="567"/>
        <w:jc w:val="both"/>
        <w:rPr>
          <w:rFonts w:ascii="Book Antiqua" w:hAnsi="Book Antiqua"/>
          <w:sz w:val="22"/>
          <w:szCs w:val="22"/>
          <w:shd w:val="clear" w:color="auto" w:fill="FFFFFF"/>
          <w:lang w:val="sv-SE"/>
        </w:rPr>
      </w:pPr>
      <w:r w:rsidRPr="00F91B28">
        <w:rPr>
          <w:rFonts w:ascii="Book Antiqua" w:hAnsi="Book Antiqua"/>
          <w:sz w:val="22"/>
          <w:szCs w:val="22"/>
          <w:shd w:val="clear" w:color="auto" w:fill="FFFFFF"/>
          <w:lang w:val="sv-SE"/>
        </w:rPr>
        <w:t>Temuan ini memperlihatkan bahwa permasalahan sarpras tidak hanya berkaitan dengan penyediaan fisik, tetapi juga dengan aspek manajemen yang meliputi perencanaan, pengadaan, pemeliharaan, dan pendayagunaan. Dengan kata lain, manajemen sarpras yang baik mampu memaksimalkan fasilitas yang ada meskipun dalam keterbatasan. Di sisi lain, sekolah dengan sarpras lengkap pun tidak selalu optimal jika pengelolaannya lemah.</w:t>
      </w:r>
      <w:r w:rsidR="00FC2198">
        <w:rPr>
          <w:rFonts w:ascii="Book Antiqua" w:hAnsi="Book Antiqua"/>
          <w:sz w:val="22"/>
          <w:szCs w:val="22"/>
          <w:shd w:val="clear" w:color="auto" w:fill="FFFFFF"/>
          <w:lang w:val="sv-SE"/>
        </w:rPr>
        <w:t xml:space="preserve"> </w:t>
      </w:r>
      <w:r w:rsidRPr="00F91B28">
        <w:rPr>
          <w:rFonts w:ascii="Book Antiqua" w:hAnsi="Book Antiqua"/>
          <w:sz w:val="22"/>
          <w:szCs w:val="22"/>
          <w:shd w:val="clear" w:color="auto" w:fill="FFFFFF"/>
          <w:lang w:val="sv-SE"/>
        </w:rPr>
        <w:t>Selain itu, perkembangan teknologi menuntut adanya pembaruan standar sarana prasarana agar lebih adaptif terhadap kebutuhan pembelajaran abad ke-21. Infrastruktur digital seperti jaringan internet, laboratorium komputer, dan platform pembelajaran daring kini menjadi bagian integral dari mutu pendidikan. Hal ini menunjukkan adanya urgensi untuk merevisi regulasi agar lebih responsif terhadap perubahan zaman.</w:t>
      </w:r>
    </w:p>
    <w:p w14:paraId="20DF55BD" w14:textId="77777777" w:rsidR="00F91B28" w:rsidRPr="00F91B28" w:rsidRDefault="00F91B28" w:rsidP="008137D6">
      <w:pPr>
        <w:ind w:firstLine="567"/>
        <w:jc w:val="both"/>
        <w:rPr>
          <w:rFonts w:ascii="Book Antiqua" w:hAnsi="Book Antiqua"/>
          <w:sz w:val="22"/>
          <w:szCs w:val="22"/>
          <w:shd w:val="clear" w:color="auto" w:fill="FFFFFF"/>
          <w:lang w:val="sv-SE"/>
        </w:rPr>
      </w:pPr>
      <w:r w:rsidRPr="00F91B28">
        <w:rPr>
          <w:rFonts w:ascii="Book Antiqua" w:hAnsi="Book Antiqua"/>
          <w:sz w:val="22"/>
          <w:szCs w:val="22"/>
          <w:shd w:val="clear" w:color="auto" w:fill="FFFFFF"/>
          <w:lang w:val="sv-SE"/>
        </w:rPr>
        <w:t>Dengan demikian, penelitian ini menegaskan bahwa kebijakan regulasi sarana prasarana harus dipahami tidak hanya sebagai aturan normatif, tetapi juga sebagai kerangka manajerial yang menuntut implementasi nyata di tingkat satuan pendidikan. Dari sinilah pentingnya kajian manajemen sarpras terus dikembangkan, agar regulasi yang ada dapat benar-benar menjadi instrumen peningkatan mutu pendidikan, bukan sekadar dokumen administratif.</w:t>
      </w:r>
    </w:p>
    <w:p w14:paraId="198C173C" w14:textId="77777777" w:rsidR="00EA3F21" w:rsidRPr="00F91B28" w:rsidRDefault="00EA3F21" w:rsidP="004321C7">
      <w:pPr>
        <w:spacing w:line="276" w:lineRule="auto"/>
        <w:ind w:firstLine="567"/>
        <w:jc w:val="both"/>
        <w:rPr>
          <w:rFonts w:ascii="Book Antiqua" w:hAnsi="Book Antiqua"/>
          <w:sz w:val="24"/>
          <w:szCs w:val="24"/>
          <w:shd w:val="clear" w:color="auto" w:fill="FFFFFF"/>
          <w:lang w:val="sv-SE"/>
        </w:rPr>
      </w:pPr>
    </w:p>
    <w:p w14:paraId="1E39D72F" w14:textId="46A1DF58" w:rsidR="00010F69" w:rsidRPr="00310CF9" w:rsidRDefault="00975170" w:rsidP="00121E9F">
      <w:pPr>
        <w:spacing w:line="276" w:lineRule="auto"/>
        <w:rPr>
          <w:rFonts w:ascii="Book Antiqua" w:hAnsi="Book Antiqua"/>
          <w:b/>
          <w:sz w:val="24"/>
          <w:szCs w:val="24"/>
          <w:lang w:val="id-ID"/>
        </w:rPr>
      </w:pPr>
      <w:r w:rsidRPr="00310CF9">
        <w:rPr>
          <w:rFonts w:ascii="Book Antiqua" w:hAnsi="Book Antiqua"/>
          <w:b/>
          <w:sz w:val="24"/>
          <w:szCs w:val="24"/>
          <w:lang w:val="id-ID"/>
        </w:rPr>
        <w:t>SIMPULAN</w:t>
      </w:r>
    </w:p>
    <w:p w14:paraId="2DA09CC0" w14:textId="4EDF561A" w:rsidR="00001432" w:rsidRDefault="00001432" w:rsidP="00001432">
      <w:pPr>
        <w:spacing w:line="276" w:lineRule="auto"/>
        <w:ind w:firstLine="720"/>
        <w:jc w:val="both"/>
        <w:rPr>
          <w:rFonts w:ascii="Book Antiqua" w:hAnsi="Book Antiqua"/>
          <w:color w:val="000000"/>
          <w:sz w:val="22"/>
          <w:szCs w:val="22"/>
          <w:lang w:val="sv-SE"/>
        </w:rPr>
      </w:pPr>
      <w:r w:rsidRPr="00001432">
        <w:rPr>
          <w:rFonts w:ascii="Book Antiqua" w:hAnsi="Book Antiqua"/>
          <w:color w:val="000000"/>
          <w:sz w:val="22"/>
          <w:szCs w:val="22"/>
          <w:lang w:val="id-ID"/>
        </w:rPr>
        <w:t xml:space="preserve">Berdasarkan hasil analisis, dapat disimpulkan bahwa standarisasi dan regulasi sarana prasarana pendidikan di Indonesia telah diatur melalui berbagai kebijakan, mulai dari PP No. 19 Tahun 2005, Permendiknas No. 24 Tahun 2007, hingga Permendikbud No. 127 Tahun 2014. </w:t>
      </w:r>
      <w:r w:rsidRPr="00001432">
        <w:rPr>
          <w:rFonts w:ascii="Book Antiqua" w:hAnsi="Book Antiqua"/>
          <w:color w:val="000000"/>
          <w:sz w:val="22"/>
          <w:szCs w:val="22"/>
          <w:lang w:val="sv-SE"/>
        </w:rPr>
        <w:t>Regulasi tersebut menekankan pentingnya kriteria minimal sarpras sebagai syarat mutu pendidikan. Namun, implementasinya di lapangan masih menghadapi sejumlah kendala, terutama terkait keterbatasan anggaran, ketimpangan antar wilayah, dan lemahnya kapasitas manajemen sekolah.</w:t>
      </w:r>
      <w:r>
        <w:rPr>
          <w:rFonts w:ascii="Book Antiqua" w:hAnsi="Book Antiqua"/>
          <w:color w:val="000000"/>
          <w:sz w:val="22"/>
          <w:szCs w:val="22"/>
          <w:lang w:val="sv-SE"/>
        </w:rPr>
        <w:tab/>
      </w:r>
      <w:r>
        <w:rPr>
          <w:rFonts w:ascii="Book Antiqua" w:hAnsi="Book Antiqua"/>
          <w:color w:val="000000"/>
          <w:sz w:val="22"/>
          <w:szCs w:val="22"/>
          <w:lang w:val="sv-SE"/>
        </w:rPr>
        <w:tab/>
      </w:r>
      <w:r>
        <w:rPr>
          <w:rFonts w:ascii="Book Antiqua" w:hAnsi="Book Antiqua"/>
          <w:color w:val="000000"/>
          <w:sz w:val="22"/>
          <w:szCs w:val="22"/>
          <w:lang w:val="sv-SE"/>
        </w:rPr>
        <w:tab/>
      </w:r>
      <w:r>
        <w:rPr>
          <w:rFonts w:ascii="Book Antiqua" w:hAnsi="Book Antiqua"/>
          <w:color w:val="000000"/>
          <w:sz w:val="22"/>
          <w:szCs w:val="22"/>
          <w:lang w:val="sv-SE"/>
        </w:rPr>
        <w:tab/>
      </w:r>
      <w:r>
        <w:rPr>
          <w:rFonts w:ascii="Book Antiqua" w:hAnsi="Book Antiqua"/>
          <w:color w:val="000000"/>
          <w:sz w:val="22"/>
          <w:szCs w:val="22"/>
          <w:lang w:val="sv-SE"/>
        </w:rPr>
        <w:tab/>
      </w:r>
      <w:r>
        <w:rPr>
          <w:rFonts w:ascii="Book Antiqua" w:hAnsi="Book Antiqua"/>
          <w:color w:val="000000"/>
          <w:sz w:val="22"/>
          <w:szCs w:val="22"/>
          <w:lang w:val="sv-SE"/>
        </w:rPr>
        <w:tab/>
      </w:r>
      <w:r>
        <w:rPr>
          <w:rFonts w:ascii="Book Antiqua" w:hAnsi="Book Antiqua"/>
          <w:color w:val="000000"/>
          <w:sz w:val="22"/>
          <w:szCs w:val="22"/>
          <w:lang w:val="sv-SE"/>
        </w:rPr>
        <w:tab/>
      </w:r>
      <w:r>
        <w:rPr>
          <w:rFonts w:ascii="Book Antiqua" w:hAnsi="Book Antiqua"/>
          <w:color w:val="000000"/>
          <w:sz w:val="22"/>
          <w:szCs w:val="22"/>
          <w:lang w:val="sv-SE"/>
        </w:rPr>
        <w:tab/>
      </w:r>
      <w:r>
        <w:rPr>
          <w:rFonts w:ascii="Book Antiqua" w:hAnsi="Book Antiqua"/>
          <w:color w:val="000000"/>
          <w:sz w:val="22"/>
          <w:szCs w:val="22"/>
          <w:lang w:val="sv-SE"/>
        </w:rPr>
        <w:tab/>
      </w:r>
      <w:r>
        <w:rPr>
          <w:rFonts w:ascii="Book Antiqua" w:hAnsi="Book Antiqua"/>
          <w:color w:val="000000"/>
          <w:sz w:val="22"/>
          <w:szCs w:val="22"/>
          <w:lang w:val="sv-SE"/>
        </w:rPr>
        <w:tab/>
      </w:r>
      <w:r>
        <w:rPr>
          <w:rFonts w:ascii="Book Antiqua" w:hAnsi="Book Antiqua"/>
          <w:color w:val="000000"/>
          <w:sz w:val="22"/>
          <w:szCs w:val="22"/>
          <w:lang w:val="sv-SE"/>
        </w:rPr>
        <w:tab/>
      </w:r>
      <w:r w:rsidRPr="00001432">
        <w:rPr>
          <w:rFonts w:ascii="Book Antiqua" w:hAnsi="Book Antiqua"/>
          <w:color w:val="000000"/>
          <w:sz w:val="22"/>
          <w:szCs w:val="22"/>
          <w:lang w:val="sv-SE"/>
        </w:rPr>
        <w:t>Kajian ini juga menunjukkan bahwa pengelolaan sarana prasarana tidak hanya berkaitan dengan penyediaan fasilitas fisik, tetapi juga mencakup perencanaan, pemeliharaan, pendayagunaan, hingga penghapusan aset. Dengan demikian, manajemen sarpras yang baik menjadi faktor penentu efektivitas implementasi regulasi. Selain itu, perkembangan pendidikan abad ke-21 menuntut pembaruan standar sarpras yang lebih responsif terhadap kebutuhan digitalisasi dan teknologi pembelajaran.</w:t>
      </w:r>
    </w:p>
    <w:p w14:paraId="30DBE855" w14:textId="77777777" w:rsidR="00782080" w:rsidRPr="00001432" w:rsidRDefault="00782080" w:rsidP="00001432">
      <w:pPr>
        <w:spacing w:line="276" w:lineRule="auto"/>
        <w:ind w:firstLine="720"/>
        <w:jc w:val="both"/>
        <w:rPr>
          <w:rFonts w:ascii="Book Antiqua" w:hAnsi="Book Antiqua"/>
          <w:color w:val="000000"/>
          <w:sz w:val="22"/>
          <w:szCs w:val="22"/>
          <w:lang w:val="sv-SE"/>
        </w:rPr>
      </w:pPr>
    </w:p>
    <w:p w14:paraId="3D23416B" w14:textId="77777777" w:rsidR="00B11283" w:rsidRPr="00F93539" w:rsidRDefault="00010F69" w:rsidP="00121E9F">
      <w:pPr>
        <w:spacing w:line="276" w:lineRule="auto"/>
        <w:rPr>
          <w:rFonts w:ascii="Book Antiqua" w:hAnsi="Book Antiqua"/>
          <w:b/>
          <w:sz w:val="22"/>
          <w:szCs w:val="22"/>
          <w:lang w:val="id-ID"/>
        </w:rPr>
      </w:pPr>
      <w:r w:rsidRPr="00F93539">
        <w:rPr>
          <w:rFonts w:ascii="Book Antiqua" w:hAnsi="Book Antiqua"/>
          <w:b/>
          <w:sz w:val="22"/>
          <w:szCs w:val="22"/>
          <w:lang w:val="id-ID"/>
        </w:rPr>
        <w:t>DAFTAR PUSTAKA</w:t>
      </w:r>
    </w:p>
    <w:p w14:paraId="0432C002" w14:textId="5EAF14D0" w:rsidR="00782080" w:rsidRPr="00782080" w:rsidRDefault="00782080" w:rsidP="00782080">
      <w:pPr>
        <w:widowControl w:val="0"/>
        <w:autoSpaceDE w:val="0"/>
        <w:autoSpaceDN w:val="0"/>
        <w:adjustRightInd w:val="0"/>
        <w:ind w:left="480" w:hanging="480"/>
        <w:jc w:val="both"/>
        <w:rPr>
          <w:rFonts w:ascii="Book Antiqua" w:hAnsi="Book Antiqua"/>
          <w:noProof/>
          <w:sz w:val="22"/>
        </w:rPr>
      </w:pPr>
      <w:r>
        <w:rPr>
          <w:rFonts w:ascii="Book Antiqua" w:hAnsi="Book Antiqua"/>
          <w:b/>
          <w:bCs/>
          <w:shd w:val="clear" w:color="auto" w:fill="FFFFFF"/>
          <w:lang w:val="id-ID"/>
        </w:rPr>
        <w:fldChar w:fldCharType="begin" w:fldLock="1"/>
      </w:r>
      <w:r>
        <w:rPr>
          <w:rFonts w:ascii="Book Antiqua" w:hAnsi="Book Antiqua"/>
          <w:b/>
          <w:bCs/>
          <w:shd w:val="clear" w:color="auto" w:fill="FFFFFF"/>
          <w:lang w:val="id-ID"/>
        </w:rPr>
        <w:instrText xml:space="preserve">ADDIN Mendeley Bibliography CSL_BIBLIOGRAPHY </w:instrText>
      </w:r>
      <w:r>
        <w:rPr>
          <w:rFonts w:ascii="Book Antiqua" w:hAnsi="Book Antiqua"/>
          <w:b/>
          <w:bCs/>
          <w:shd w:val="clear" w:color="auto" w:fill="FFFFFF"/>
          <w:lang w:val="id-ID"/>
        </w:rPr>
        <w:fldChar w:fldCharType="separate"/>
      </w:r>
      <w:r w:rsidRPr="00782080">
        <w:rPr>
          <w:rFonts w:ascii="Book Antiqua" w:hAnsi="Book Antiqua"/>
          <w:noProof/>
          <w:sz w:val="22"/>
        </w:rPr>
        <w:t xml:space="preserve">Destari, D., Saufi, M., Arijanti, S., Haddar, G. Al, &amp; Kasmilawati, I. (2023). The Implementation of School-Based Management in Supporting Standard of School Infrastructure and Facilities in Islamic Private School. </w:t>
      </w:r>
      <w:r w:rsidRPr="00782080">
        <w:rPr>
          <w:rFonts w:ascii="Book Antiqua" w:hAnsi="Book Antiqua"/>
          <w:i/>
          <w:iCs/>
          <w:noProof/>
          <w:sz w:val="22"/>
        </w:rPr>
        <w:t>Journal on Education</w:t>
      </w:r>
      <w:r w:rsidRPr="00782080">
        <w:rPr>
          <w:rFonts w:ascii="Book Antiqua" w:hAnsi="Book Antiqua"/>
          <w:noProof/>
          <w:sz w:val="22"/>
        </w:rPr>
        <w:t xml:space="preserve">, </w:t>
      </w:r>
      <w:r w:rsidRPr="00782080">
        <w:rPr>
          <w:rFonts w:ascii="Book Antiqua" w:hAnsi="Book Antiqua"/>
          <w:i/>
          <w:iCs/>
          <w:noProof/>
          <w:sz w:val="22"/>
        </w:rPr>
        <w:t>5</w:t>
      </w:r>
      <w:r w:rsidRPr="00782080">
        <w:rPr>
          <w:rFonts w:ascii="Book Antiqua" w:hAnsi="Book Antiqua"/>
          <w:noProof/>
          <w:sz w:val="22"/>
        </w:rPr>
        <w:t>(3), 10318–10323. https://www.jonedu.org/index.php/joe/article/view/1928%0Ahttps://www.jonedu.org/index.php/joe/article/download/1928/1591</w:t>
      </w:r>
      <w:bookmarkStart w:id="1" w:name="_GoBack"/>
      <w:bookmarkEnd w:id="1"/>
    </w:p>
    <w:p w14:paraId="29FCC812" w14:textId="77777777" w:rsidR="00782080" w:rsidRPr="00782080" w:rsidRDefault="00782080" w:rsidP="00782080">
      <w:pPr>
        <w:widowControl w:val="0"/>
        <w:autoSpaceDE w:val="0"/>
        <w:autoSpaceDN w:val="0"/>
        <w:adjustRightInd w:val="0"/>
        <w:ind w:left="480" w:hanging="480"/>
        <w:jc w:val="both"/>
        <w:rPr>
          <w:rFonts w:ascii="Book Antiqua" w:hAnsi="Book Antiqua"/>
          <w:noProof/>
          <w:sz w:val="22"/>
        </w:rPr>
      </w:pPr>
      <w:r w:rsidRPr="00782080">
        <w:rPr>
          <w:rFonts w:ascii="Book Antiqua" w:hAnsi="Book Antiqua"/>
          <w:noProof/>
          <w:sz w:val="22"/>
        </w:rPr>
        <w:t xml:space="preserve">Istakri, D., Sofyan, H., &amp; Ismail, I. (2024). Infrastructure Management for Improved Learning </w:t>
      </w:r>
      <w:r w:rsidRPr="00782080">
        <w:rPr>
          <w:rFonts w:ascii="Book Antiqua" w:hAnsi="Book Antiqua"/>
          <w:noProof/>
          <w:sz w:val="22"/>
        </w:rPr>
        <w:lastRenderedPageBreak/>
        <w:t xml:space="preserve">Outcomes: Insights from Junior High Schools in Southwest Aceh, Indonesia. </w:t>
      </w:r>
      <w:r w:rsidRPr="00782080">
        <w:rPr>
          <w:rFonts w:ascii="Book Antiqua" w:hAnsi="Book Antiqua"/>
          <w:i/>
          <w:iCs/>
          <w:noProof/>
          <w:sz w:val="22"/>
        </w:rPr>
        <w:t>Journal of Educational Management and Learning</w:t>
      </w:r>
      <w:r w:rsidRPr="00782080">
        <w:rPr>
          <w:rFonts w:ascii="Book Antiqua" w:hAnsi="Book Antiqua"/>
          <w:noProof/>
          <w:sz w:val="22"/>
        </w:rPr>
        <w:t xml:space="preserve">, </w:t>
      </w:r>
      <w:r w:rsidRPr="00782080">
        <w:rPr>
          <w:rFonts w:ascii="Book Antiqua" w:hAnsi="Book Antiqua"/>
          <w:i/>
          <w:iCs/>
          <w:noProof/>
          <w:sz w:val="22"/>
        </w:rPr>
        <w:t>2</w:t>
      </w:r>
      <w:r w:rsidRPr="00782080">
        <w:rPr>
          <w:rFonts w:ascii="Book Antiqua" w:hAnsi="Book Antiqua"/>
          <w:noProof/>
          <w:sz w:val="22"/>
        </w:rPr>
        <w:t>(1), 20–27. https://doi.org/10.60084/jeml.v2i1.169</w:t>
      </w:r>
    </w:p>
    <w:p w14:paraId="61942EFB" w14:textId="77777777" w:rsidR="00782080" w:rsidRPr="00782080" w:rsidRDefault="00782080" w:rsidP="00782080">
      <w:pPr>
        <w:widowControl w:val="0"/>
        <w:autoSpaceDE w:val="0"/>
        <w:autoSpaceDN w:val="0"/>
        <w:adjustRightInd w:val="0"/>
        <w:ind w:left="480" w:hanging="480"/>
        <w:jc w:val="both"/>
        <w:rPr>
          <w:rFonts w:ascii="Book Antiqua" w:hAnsi="Book Antiqua"/>
          <w:noProof/>
          <w:sz w:val="22"/>
        </w:rPr>
      </w:pPr>
      <w:r w:rsidRPr="00782080">
        <w:rPr>
          <w:rFonts w:ascii="Book Antiqua" w:hAnsi="Book Antiqua"/>
          <w:noProof/>
          <w:sz w:val="22"/>
        </w:rPr>
        <w:t xml:space="preserve">Krippendorff, K. (2018). </w:t>
      </w:r>
      <w:r w:rsidRPr="00782080">
        <w:rPr>
          <w:rFonts w:ascii="Book Antiqua" w:hAnsi="Book Antiqua"/>
          <w:i/>
          <w:iCs/>
          <w:noProof/>
          <w:sz w:val="22"/>
        </w:rPr>
        <w:t>Content Analysis: An Introduction to Its Methodology</w:t>
      </w:r>
      <w:r w:rsidRPr="00782080">
        <w:rPr>
          <w:rFonts w:ascii="Book Antiqua" w:hAnsi="Book Antiqua"/>
          <w:noProof/>
          <w:sz w:val="22"/>
        </w:rPr>
        <w:t xml:space="preserve"> (4th ed.). Sage Publication Inc.</w:t>
      </w:r>
    </w:p>
    <w:p w14:paraId="0CDB483A" w14:textId="77777777" w:rsidR="00782080" w:rsidRPr="00782080" w:rsidRDefault="00782080" w:rsidP="00782080">
      <w:pPr>
        <w:widowControl w:val="0"/>
        <w:autoSpaceDE w:val="0"/>
        <w:autoSpaceDN w:val="0"/>
        <w:adjustRightInd w:val="0"/>
        <w:ind w:left="480" w:hanging="480"/>
        <w:jc w:val="both"/>
        <w:rPr>
          <w:rFonts w:ascii="Book Antiqua" w:hAnsi="Book Antiqua"/>
          <w:noProof/>
          <w:sz w:val="22"/>
        </w:rPr>
      </w:pPr>
      <w:r w:rsidRPr="00782080">
        <w:rPr>
          <w:rFonts w:ascii="Book Antiqua" w:hAnsi="Book Antiqua"/>
          <w:noProof/>
          <w:sz w:val="22"/>
        </w:rPr>
        <w:t xml:space="preserve">Pramana, C., Chamidah, D., Suyatno, S., Renadi, F., &amp; Syaharuddin, S. (2021). Strategies to improved education quality in Indonesia: A review. </w:t>
      </w:r>
      <w:r w:rsidRPr="00782080">
        <w:rPr>
          <w:rFonts w:ascii="Book Antiqua" w:hAnsi="Book Antiqua"/>
          <w:i/>
          <w:iCs/>
          <w:noProof/>
          <w:sz w:val="22"/>
        </w:rPr>
        <w:t>Turkish Online Journal of Qualitative Inquiry (TOJQI)</w:t>
      </w:r>
      <w:r w:rsidRPr="00782080">
        <w:rPr>
          <w:rFonts w:ascii="Book Antiqua" w:hAnsi="Book Antiqua"/>
          <w:noProof/>
          <w:sz w:val="22"/>
        </w:rPr>
        <w:t xml:space="preserve">, </w:t>
      </w:r>
      <w:r w:rsidRPr="00782080">
        <w:rPr>
          <w:rFonts w:ascii="Book Antiqua" w:hAnsi="Book Antiqua"/>
          <w:i/>
          <w:iCs/>
          <w:noProof/>
          <w:sz w:val="22"/>
        </w:rPr>
        <w:t>12</w:t>
      </w:r>
      <w:r w:rsidRPr="00782080">
        <w:rPr>
          <w:rFonts w:ascii="Book Antiqua" w:hAnsi="Book Antiqua"/>
          <w:noProof/>
          <w:sz w:val="22"/>
        </w:rPr>
        <w:t>(3), 1977–1994.</w:t>
      </w:r>
    </w:p>
    <w:p w14:paraId="536E81E8" w14:textId="77777777" w:rsidR="00782080" w:rsidRPr="00782080" w:rsidRDefault="00782080" w:rsidP="00782080">
      <w:pPr>
        <w:widowControl w:val="0"/>
        <w:autoSpaceDE w:val="0"/>
        <w:autoSpaceDN w:val="0"/>
        <w:adjustRightInd w:val="0"/>
        <w:ind w:left="480" w:hanging="480"/>
        <w:jc w:val="both"/>
        <w:rPr>
          <w:rFonts w:ascii="Book Antiqua" w:hAnsi="Book Antiqua"/>
          <w:noProof/>
          <w:sz w:val="22"/>
        </w:rPr>
      </w:pPr>
      <w:r w:rsidRPr="00782080">
        <w:rPr>
          <w:rFonts w:ascii="Book Antiqua" w:hAnsi="Book Antiqua"/>
          <w:noProof/>
          <w:sz w:val="22"/>
        </w:rPr>
        <w:t xml:space="preserve">Shaturaev, J. (2021). Financing and Management of Islamic (Madrasah) Education in Indonesia. </w:t>
      </w:r>
      <w:r w:rsidRPr="00782080">
        <w:rPr>
          <w:rFonts w:ascii="Book Antiqua" w:hAnsi="Book Antiqua"/>
          <w:i/>
          <w:iCs/>
          <w:noProof/>
          <w:sz w:val="22"/>
        </w:rPr>
        <w:t>Zeszyty Naukowe Politechniki Częstochowskiej Zarządzanie</w:t>
      </w:r>
      <w:r w:rsidRPr="00782080">
        <w:rPr>
          <w:rFonts w:ascii="Book Antiqua" w:hAnsi="Book Antiqua"/>
          <w:noProof/>
          <w:sz w:val="22"/>
        </w:rPr>
        <w:t xml:space="preserve">, </w:t>
      </w:r>
      <w:r w:rsidRPr="00782080">
        <w:rPr>
          <w:rFonts w:ascii="Book Antiqua" w:hAnsi="Book Antiqua"/>
          <w:i/>
          <w:iCs/>
          <w:noProof/>
          <w:sz w:val="22"/>
        </w:rPr>
        <w:t>42</w:t>
      </w:r>
      <w:r w:rsidRPr="00782080">
        <w:rPr>
          <w:rFonts w:ascii="Book Antiqua" w:hAnsi="Book Antiqua"/>
          <w:noProof/>
          <w:sz w:val="22"/>
        </w:rPr>
        <w:t>(1), 57–65. https://doi.org/10.17512/znpcz.2021.2.05</w:t>
      </w:r>
    </w:p>
    <w:p w14:paraId="517A7AE5" w14:textId="77777777" w:rsidR="00782080" w:rsidRPr="00782080" w:rsidRDefault="00782080" w:rsidP="00782080">
      <w:pPr>
        <w:widowControl w:val="0"/>
        <w:autoSpaceDE w:val="0"/>
        <w:autoSpaceDN w:val="0"/>
        <w:adjustRightInd w:val="0"/>
        <w:ind w:left="480" w:hanging="480"/>
        <w:jc w:val="both"/>
        <w:rPr>
          <w:rFonts w:ascii="Book Antiqua" w:hAnsi="Book Antiqua"/>
          <w:noProof/>
          <w:sz w:val="22"/>
        </w:rPr>
      </w:pPr>
      <w:r w:rsidRPr="00782080">
        <w:rPr>
          <w:rFonts w:ascii="Book Antiqua" w:hAnsi="Book Antiqua"/>
          <w:noProof/>
          <w:sz w:val="22"/>
        </w:rPr>
        <w:t xml:space="preserve">Siswanto, E., &amp; Hidayati, D. (2020). Management Indicators of Good Infrastructure Facilities To Improve School Quality. </w:t>
      </w:r>
      <w:r w:rsidRPr="00782080">
        <w:rPr>
          <w:rFonts w:ascii="Book Antiqua" w:hAnsi="Book Antiqua"/>
          <w:i/>
          <w:iCs/>
          <w:noProof/>
          <w:sz w:val="22"/>
        </w:rPr>
        <w:t>International Journal of Educational Management and Innovation</w:t>
      </w:r>
      <w:r w:rsidRPr="00782080">
        <w:rPr>
          <w:rFonts w:ascii="Book Antiqua" w:hAnsi="Book Antiqua"/>
          <w:noProof/>
          <w:sz w:val="22"/>
        </w:rPr>
        <w:t xml:space="preserve">, </w:t>
      </w:r>
      <w:r w:rsidRPr="00782080">
        <w:rPr>
          <w:rFonts w:ascii="Book Antiqua" w:hAnsi="Book Antiqua"/>
          <w:i/>
          <w:iCs/>
          <w:noProof/>
          <w:sz w:val="22"/>
        </w:rPr>
        <w:t>1</w:t>
      </w:r>
      <w:r w:rsidRPr="00782080">
        <w:rPr>
          <w:rFonts w:ascii="Book Antiqua" w:hAnsi="Book Antiqua"/>
          <w:noProof/>
          <w:sz w:val="22"/>
        </w:rPr>
        <w:t>(1), 69. https://doi.org/10.12928/ijemi.v1i1.1516</w:t>
      </w:r>
    </w:p>
    <w:p w14:paraId="62C98652" w14:textId="77777777" w:rsidR="00782080" w:rsidRPr="00782080" w:rsidRDefault="00782080" w:rsidP="00782080">
      <w:pPr>
        <w:widowControl w:val="0"/>
        <w:autoSpaceDE w:val="0"/>
        <w:autoSpaceDN w:val="0"/>
        <w:adjustRightInd w:val="0"/>
        <w:ind w:left="480" w:hanging="480"/>
        <w:jc w:val="both"/>
        <w:rPr>
          <w:rFonts w:ascii="Book Antiqua" w:hAnsi="Book Antiqua"/>
          <w:noProof/>
          <w:sz w:val="22"/>
        </w:rPr>
      </w:pPr>
      <w:r w:rsidRPr="00782080">
        <w:rPr>
          <w:rFonts w:ascii="Book Antiqua" w:hAnsi="Book Antiqua"/>
          <w:noProof/>
          <w:sz w:val="22"/>
        </w:rPr>
        <w:t xml:space="preserve">W., C. (2016). </w:t>
      </w:r>
      <w:r w:rsidRPr="00782080">
        <w:rPr>
          <w:rFonts w:ascii="Book Antiqua" w:hAnsi="Book Antiqua"/>
          <w:i/>
          <w:iCs/>
          <w:noProof/>
          <w:sz w:val="22"/>
        </w:rPr>
        <w:t>Research Design: Pendekatan Kualitatif, Kuantitatif, dan Mixed</w:t>
      </w:r>
      <w:r w:rsidRPr="00782080">
        <w:rPr>
          <w:rFonts w:ascii="Book Antiqua" w:hAnsi="Book Antiqua"/>
          <w:noProof/>
          <w:sz w:val="22"/>
        </w:rPr>
        <w:t>. Pustaka Pelajar.</w:t>
      </w:r>
    </w:p>
    <w:p w14:paraId="6832DD8A" w14:textId="77777777" w:rsidR="00782080" w:rsidRDefault="00782080" w:rsidP="00782080">
      <w:pPr>
        <w:widowControl w:val="0"/>
        <w:autoSpaceDE w:val="0"/>
        <w:autoSpaceDN w:val="0"/>
        <w:adjustRightInd w:val="0"/>
        <w:ind w:left="480" w:hanging="480"/>
        <w:jc w:val="both"/>
        <w:rPr>
          <w:rFonts w:ascii="Book Antiqua" w:hAnsi="Book Antiqua"/>
          <w:noProof/>
          <w:sz w:val="22"/>
        </w:rPr>
      </w:pPr>
      <w:r w:rsidRPr="00782080">
        <w:rPr>
          <w:rFonts w:ascii="Book Antiqua" w:hAnsi="Book Antiqua"/>
          <w:noProof/>
          <w:sz w:val="22"/>
        </w:rPr>
        <w:t xml:space="preserve">Zed, M. (2014). </w:t>
      </w:r>
      <w:r w:rsidRPr="00782080">
        <w:rPr>
          <w:rFonts w:ascii="Book Antiqua" w:hAnsi="Book Antiqua"/>
          <w:i/>
          <w:iCs/>
          <w:noProof/>
          <w:sz w:val="22"/>
        </w:rPr>
        <w:t>Metode Penelitian Kepustakaan</w:t>
      </w:r>
      <w:r w:rsidRPr="00782080">
        <w:rPr>
          <w:rFonts w:ascii="Book Antiqua" w:hAnsi="Book Antiqua"/>
          <w:noProof/>
          <w:sz w:val="22"/>
        </w:rPr>
        <w:t>. Yayasan Obor Indonesia.</w:t>
      </w:r>
    </w:p>
    <w:p w14:paraId="0EC53BF0" w14:textId="77777777" w:rsidR="00782080" w:rsidRPr="00782080" w:rsidRDefault="00782080" w:rsidP="00782080">
      <w:pPr>
        <w:widowControl w:val="0"/>
        <w:autoSpaceDE w:val="0"/>
        <w:autoSpaceDN w:val="0"/>
        <w:adjustRightInd w:val="0"/>
        <w:ind w:left="480" w:hanging="480"/>
        <w:jc w:val="both"/>
        <w:rPr>
          <w:rFonts w:ascii="Book Antiqua" w:hAnsi="Book Antiqua"/>
          <w:noProof/>
          <w:sz w:val="22"/>
        </w:rPr>
      </w:pPr>
    </w:p>
    <w:p w14:paraId="3AD0E0DB" w14:textId="7E8E6831" w:rsidR="00813B2A" w:rsidRDefault="00782080" w:rsidP="002E11DB">
      <w:pPr>
        <w:pStyle w:val="ListParagraph"/>
        <w:spacing w:after="0"/>
        <w:ind w:left="426" w:hanging="426"/>
        <w:jc w:val="both"/>
        <w:rPr>
          <w:rFonts w:ascii="Book Antiqua" w:hAnsi="Book Antiqua" w:cs="Times New Roman"/>
          <w:b/>
          <w:bCs/>
          <w:shd w:val="clear" w:color="auto" w:fill="FFFFFF"/>
          <w:lang w:val="id-ID"/>
        </w:rPr>
      </w:pPr>
      <w:r>
        <w:rPr>
          <w:rFonts w:ascii="Book Antiqua" w:hAnsi="Book Antiqua" w:cs="Times New Roman"/>
          <w:b/>
          <w:bCs/>
          <w:shd w:val="clear" w:color="auto" w:fill="FFFFFF"/>
          <w:lang w:val="id-ID"/>
        </w:rPr>
        <w:fldChar w:fldCharType="end"/>
      </w:r>
      <w:r>
        <w:rPr>
          <w:rFonts w:ascii="Book Antiqua" w:hAnsi="Book Antiqua" w:cs="Times New Roman"/>
          <w:b/>
          <w:bCs/>
          <w:shd w:val="clear" w:color="auto" w:fill="FFFFFF"/>
          <w:lang w:val="id-ID"/>
        </w:rPr>
        <w:t>Undang-Undang</w:t>
      </w:r>
    </w:p>
    <w:p w14:paraId="3FDCA033" w14:textId="77777777" w:rsidR="00782080" w:rsidRPr="00782080" w:rsidRDefault="00782080" w:rsidP="00782080">
      <w:pPr>
        <w:pStyle w:val="ListParagraph"/>
        <w:spacing w:after="0"/>
        <w:ind w:left="426" w:hanging="426"/>
        <w:jc w:val="both"/>
        <w:rPr>
          <w:rFonts w:ascii="Book Antiqua" w:hAnsi="Book Antiqua"/>
          <w:shd w:val="clear" w:color="auto" w:fill="FFFFFF"/>
          <w:lang w:val="sv-SE"/>
        </w:rPr>
      </w:pPr>
      <w:r w:rsidRPr="00782080">
        <w:rPr>
          <w:rFonts w:ascii="Book Antiqua" w:hAnsi="Book Antiqua"/>
          <w:shd w:val="clear" w:color="auto" w:fill="FFFFFF"/>
          <w:lang w:val="sv-SE"/>
        </w:rPr>
        <w:t xml:space="preserve">Republik Indonesia. (2005). </w:t>
      </w:r>
      <w:r w:rsidRPr="00782080">
        <w:rPr>
          <w:rFonts w:ascii="Book Antiqua" w:hAnsi="Book Antiqua"/>
          <w:i/>
          <w:iCs/>
          <w:shd w:val="clear" w:color="auto" w:fill="FFFFFF"/>
          <w:lang w:val="sv-SE"/>
        </w:rPr>
        <w:t>Peraturan Pemerintah Nomor 19 Tahun 2005 tentang Standar Nasional Pendidikan</w:t>
      </w:r>
      <w:r w:rsidRPr="00782080">
        <w:rPr>
          <w:rFonts w:ascii="Book Antiqua" w:hAnsi="Book Antiqua"/>
          <w:shd w:val="clear" w:color="auto" w:fill="FFFFFF"/>
          <w:lang w:val="sv-SE"/>
        </w:rPr>
        <w:t>. Jakarta: Sekretariat Negara.</w:t>
      </w:r>
    </w:p>
    <w:p w14:paraId="0DFAAA5C" w14:textId="77777777" w:rsidR="00782080" w:rsidRPr="00782080" w:rsidRDefault="00782080" w:rsidP="00782080">
      <w:pPr>
        <w:pStyle w:val="ListParagraph"/>
        <w:spacing w:after="0"/>
        <w:ind w:left="426" w:hanging="426"/>
        <w:jc w:val="both"/>
        <w:rPr>
          <w:rFonts w:ascii="Book Antiqua" w:hAnsi="Book Antiqua"/>
          <w:shd w:val="clear" w:color="auto" w:fill="FFFFFF"/>
          <w:lang w:val="sv-SE"/>
        </w:rPr>
      </w:pPr>
      <w:r w:rsidRPr="00782080">
        <w:rPr>
          <w:rFonts w:ascii="Book Antiqua" w:hAnsi="Book Antiqua"/>
          <w:shd w:val="clear" w:color="auto" w:fill="FFFFFF"/>
          <w:lang w:val="sv-SE"/>
        </w:rPr>
        <w:t xml:space="preserve">Republik Indonesia. (2007a). </w:t>
      </w:r>
      <w:r w:rsidRPr="00782080">
        <w:rPr>
          <w:rFonts w:ascii="Book Antiqua" w:hAnsi="Book Antiqua"/>
          <w:i/>
          <w:iCs/>
          <w:shd w:val="clear" w:color="auto" w:fill="FFFFFF"/>
          <w:lang w:val="sv-SE"/>
        </w:rPr>
        <w:t>Peraturan Menteri Pendidikan Nasional Nomor 24 Tahun 2007 tentang Standar Sarana dan Prasarana Pendidikan Dasar dan Menengah</w:t>
      </w:r>
      <w:r w:rsidRPr="00782080">
        <w:rPr>
          <w:rFonts w:ascii="Book Antiqua" w:hAnsi="Book Antiqua"/>
          <w:shd w:val="clear" w:color="auto" w:fill="FFFFFF"/>
          <w:lang w:val="sv-SE"/>
        </w:rPr>
        <w:t>. Jakarta: Kementerian Pendidikan Nasional.</w:t>
      </w:r>
    </w:p>
    <w:p w14:paraId="64663920" w14:textId="77777777" w:rsidR="00782080" w:rsidRPr="00782080" w:rsidRDefault="00782080" w:rsidP="00782080">
      <w:pPr>
        <w:pStyle w:val="ListParagraph"/>
        <w:spacing w:after="0"/>
        <w:ind w:left="426" w:hanging="426"/>
        <w:jc w:val="both"/>
        <w:rPr>
          <w:rFonts w:ascii="Book Antiqua" w:hAnsi="Book Antiqua"/>
          <w:shd w:val="clear" w:color="auto" w:fill="FFFFFF"/>
          <w:lang w:val="sv-SE"/>
        </w:rPr>
      </w:pPr>
      <w:r w:rsidRPr="00782080">
        <w:rPr>
          <w:rFonts w:ascii="Book Antiqua" w:hAnsi="Book Antiqua"/>
          <w:shd w:val="clear" w:color="auto" w:fill="FFFFFF"/>
          <w:lang w:val="sv-SE"/>
        </w:rPr>
        <w:t xml:space="preserve">Republik Indonesia. (2014). </w:t>
      </w:r>
      <w:r w:rsidRPr="00782080">
        <w:rPr>
          <w:rFonts w:ascii="Book Antiqua" w:hAnsi="Book Antiqua"/>
          <w:i/>
          <w:iCs/>
          <w:shd w:val="clear" w:color="auto" w:fill="FFFFFF"/>
          <w:lang w:val="sv-SE"/>
        </w:rPr>
        <w:t>Peraturan Menteri Pendidikan dan Kebudayaan Nomor 127 Tahun 2014 tentang Standar Sarana dan Prasarana Lembaga Kursus dan Pelatihan (LKP)</w:t>
      </w:r>
      <w:r w:rsidRPr="00782080">
        <w:rPr>
          <w:rFonts w:ascii="Book Antiqua" w:hAnsi="Book Antiqua"/>
          <w:shd w:val="clear" w:color="auto" w:fill="FFFFFF"/>
          <w:lang w:val="sv-SE"/>
        </w:rPr>
        <w:t>. Jakarta: Kementerian Pendidikan dan Kebudayaan.</w:t>
      </w:r>
    </w:p>
    <w:p w14:paraId="40AA792F" w14:textId="77777777" w:rsidR="00782080" w:rsidRPr="00782080" w:rsidRDefault="00782080" w:rsidP="00782080">
      <w:pPr>
        <w:pStyle w:val="ListParagraph"/>
        <w:spacing w:after="0"/>
        <w:ind w:left="426" w:hanging="426"/>
        <w:jc w:val="both"/>
        <w:rPr>
          <w:rFonts w:ascii="Book Antiqua" w:hAnsi="Book Antiqua"/>
          <w:shd w:val="clear" w:color="auto" w:fill="FFFFFF"/>
          <w:lang w:val="sv-SE"/>
        </w:rPr>
      </w:pPr>
      <w:r w:rsidRPr="00782080">
        <w:rPr>
          <w:rFonts w:ascii="Book Antiqua" w:hAnsi="Book Antiqua"/>
          <w:shd w:val="clear" w:color="auto" w:fill="FFFFFF"/>
          <w:lang w:val="sv-SE"/>
        </w:rPr>
        <w:t xml:space="preserve">Republik Indonesia. (2013). </w:t>
      </w:r>
      <w:r w:rsidRPr="00782080">
        <w:rPr>
          <w:rFonts w:ascii="Book Antiqua" w:hAnsi="Book Antiqua"/>
          <w:i/>
          <w:iCs/>
          <w:shd w:val="clear" w:color="auto" w:fill="FFFFFF"/>
          <w:lang w:val="sv-SE"/>
        </w:rPr>
        <w:t>Peraturan Menteri Pendayagunaan Aparatur Negara dan Reformasi Birokrasi Nomor 48 Tahun 2013 tentang Standar Sarana dan Prasarana Kantor Pemerintahan</w:t>
      </w:r>
      <w:r w:rsidRPr="00782080">
        <w:rPr>
          <w:rFonts w:ascii="Book Antiqua" w:hAnsi="Book Antiqua"/>
          <w:shd w:val="clear" w:color="auto" w:fill="FFFFFF"/>
          <w:lang w:val="sv-SE"/>
        </w:rPr>
        <w:t>. Jakarta: Kementerian PAN-RB.</w:t>
      </w:r>
    </w:p>
    <w:p w14:paraId="66F7E3E0" w14:textId="77777777" w:rsidR="00782080" w:rsidRPr="00782080" w:rsidRDefault="00782080" w:rsidP="00782080">
      <w:pPr>
        <w:pStyle w:val="ListParagraph"/>
        <w:spacing w:after="0"/>
        <w:ind w:left="426" w:hanging="426"/>
        <w:jc w:val="both"/>
        <w:rPr>
          <w:rFonts w:ascii="Book Antiqua" w:hAnsi="Book Antiqua"/>
          <w:shd w:val="clear" w:color="auto" w:fill="FFFFFF"/>
          <w:lang w:val="en-ID"/>
        </w:rPr>
      </w:pPr>
      <w:r w:rsidRPr="00782080">
        <w:rPr>
          <w:rFonts w:ascii="Book Antiqua" w:hAnsi="Book Antiqua"/>
          <w:shd w:val="clear" w:color="auto" w:fill="FFFFFF"/>
          <w:lang w:val="sv-SE"/>
        </w:rPr>
        <w:t xml:space="preserve">Republik Indonesia. (2007b). </w:t>
      </w:r>
      <w:r w:rsidRPr="00782080">
        <w:rPr>
          <w:rFonts w:ascii="Book Antiqua" w:hAnsi="Book Antiqua"/>
          <w:i/>
          <w:iCs/>
          <w:shd w:val="clear" w:color="auto" w:fill="FFFFFF"/>
          <w:lang w:val="sv-SE"/>
        </w:rPr>
        <w:t>Peraturan Menteri Dalam Negeri Nomor 17 Tahun 2007 tentang Pedoman Teknis Pengelolaan Barang Milik Daerah</w:t>
      </w:r>
      <w:r w:rsidRPr="00782080">
        <w:rPr>
          <w:rFonts w:ascii="Book Antiqua" w:hAnsi="Book Antiqua"/>
          <w:shd w:val="clear" w:color="auto" w:fill="FFFFFF"/>
          <w:lang w:val="sv-SE"/>
        </w:rPr>
        <w:t xml:space="preserve">. </w:t>
      </w:r>
      <w:r w:rsidRPr="00782080">
        <w:rPr>
          <w:rFonts w:ascii="Book Antiqua" w:hAnsi="Book Antiqua"/>
          <w:shd w:val="clear" w:color="auto" w:fill="FFFFFF"/>
          <w:lang w:val="en-ID"/>
        </w:rPr>
        <w:t>Jakarta: Kementerian Dalam Negeri.</w:t>
      </w:r>
    </w:p>
    <w:p w14:paraId="69068276" w14:textId="77777777" w:rsidR="00782080" w:rsidRPr="00F93539" w:rsidRDefault="00782080" w:rsidP="002E11DB">
      <w:pPr>
        <w:pStyle w:val="ListParagraph"/>
        <w:spacing w:after="0"/>
        <w:ind w:left="426" w:hanging="426"/>
        <w:jc w:val="both"/>
        <w:rPr>
          <w:rFonts w:ascii="Book Antiqua" w:hAnsi="Book Antiqua" w:cs="Times New Roman"/>
          <w:b/>
          <w:bCs/>
          <w:shd w:val="clear" w:color="auto" w:fill="FFFFFF"/>
          <w:lang w:val="id-ID"/>
        </w:rPr>
      </w:pPr>
    </w:p>
    <w:sectPr w:rsidR="00782080" w:rsidRPr="00F93539" w:rsidSect="00103344">
      <w:headerReference w:type="even" r:id="rId9"/>
      <w:headerReference w:type="default" r:id="rId10"/>
      <w:footerReference w:type="even" r:id="rId11"/>
      <w:footerReference w:type="default" r:id="rId12"/>
      <w:headerReference w:type="first" r:id="rId13"/>
      <w:footerReference w:type="first" r:id="rId14"/>
      <w:pgSz w:w="11900" w:h="16840" w:code="9"/>
      <w:pgMar w:top="1134" w:right="1247" w:bottom="1134" w:left="1247" w:header="709" w:footer="709" w:gutter="0"/>
      <w:pgNumType w:start="16"/>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63BD0" w14:textId="77777777" w:rsidR="002865E7" w:rsidRDefault="002865E7" w:rsidP="0007735B">
      <w:r>
        <w:separator/>
      </w:r>
    </w:p>
  </w:endnote>
  <w:endnote w:type="continuationSeparator" w:id="0">
    <w:p w14:paraId="3FF28F91" w14:textId="77777777" w:rsidR="002865E7" w:rsidRDefault="002865E7" w:rsidP="0007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D1FFE" w14:textId="77777777" w:rsidR="00DA1E3B" w:rsidRDefault="00DA1E3B" w:rsidP="00DA1E3B">
    <w:pPr>
      <w:pStyle w:val="Footer"/>
      <w:jc w:val="center"/>
      <w:rPr>
        <w:rFonts w:ascii="Lato" w:hAnsi="Lato"/>
        <w:lang w:val="id-ID"/>
      </w:rPr>
    </w:pPr>
  </w:p>
  <w:p w14:paraId="40B12146" w14:textId="77777777" w:rsidR="00DA1E3B" w:rsidRPr="00EA6C88" w:rsidRDefault="00DA1E3B" w:rsidP="00DA1E3B">
    <w:pPr>
      <w:pStyle w:val="Footer"/>
      <w:jc w:val="center"/>
      <w:rPr>
        <w:rFonts w:ascii="Lato" w:hAnsi="Lato"/>
        <w:lang w:val="id-ID"/>
      </w:rPr>
    </w:pPr>
    <w:r w:rsidRPr="00EA6C88">
      <w:rPr>
        <w:rFonts w:ascii="Lato" w:hAnsi="Lato"/>
        <w:lang w:val="id-ID"/>
      </w:rPr>
      <w:t xml:space="preserve">Journal </w:t>
    </w:r>
    <w:r>
      <w:rPr>
        <w:rFonts w:ascii="Lato" w:hAnsi="Lato"/>
      </w:rPr>
      <w:t xml:space="preserve">of </w:t>
    </w:r>
    <w:r w:rsidRPr="00EA6C88">
      <w:rPr>
        <w:rFonts w:ascii="Lato" w:hAnsi="Lato"/>
        <w:lang w:val="id-ID"/>
      </w:rPr>
      <w:t xml:space="preserve">Education Research, </w:t>
    </w:r>
    <w:r>
      <w:rPr>
        <w:rFonts w:ascii="Lato" w:hAnsi="Lato"/>
      </w:rPr>
      <w:t xml:space="preserve"> </w:t>
    </w:r>
    <w:r>
      <w:rPr>
        <w:rFonts w:ascii="Lato" w:hAnsi="Lato"/>
        <w:lang w:val="id-ID"/>
      </w:rPr>
      <w:t>x</w:t>
    </w:r>
    <w:r>
      <w:rPr>
        <w:rFonts w:ascii="Lato" w:hAnsi="Lato"/>
      </w:rPr>
      <w:t xml:space="preserve"> </w:t>
    </w:r>
    <w:r w:rsidRPr="00EA6C88">
      <w:rPr>
        <w:rFonts w:ascii="Lato" w:hAnsi="Lato"/>
        <w:lang w:val="id-ID"/>
      </w:rPr>
      <w:t>(</w:t>
    </w:r>
    <w:r>
      <w:rPr>
        <w:rFonts w:ascii="Lato" w:hAnsi="Lato"/>
        <w:lang w:val="id-ID"/>
      </w:rPr>
      <w:t>x</w:t>
    </w:r>
    <w:r w:rsidRPr="00EA6C88">
      <w:rPr>
        <w:rFonts w:ascii="Lato" w:hAnsi="Lato"/>
        <w:lang w:val="id-ID"/>
      </w:rPr>
      <w:t>)</w:t>
    </w:r>
    <w:r>
      <w:rPr>
        <w:rFonts w:ascii="Lato" w:hAnsi="Lato"/>
      </w:rPr>
      <w:t xml:space="preserve">, </w:t>
    </w:r>
    <w:r w:rsidRPr="00EA6C88">
      <w:rPr>
        <w:rFonts w:ascii="Lato" w:hAnsi="Lato"/>
        <w:lang w:val="id-ID"/>
      </w:rPr>
      <w:t xml:space="preserve"> </w:t>
    </w:r>
    <w:r>
      <w:rPr>
        <w:rFonts w:ascii="Lato" w:hAnsi="Lato"/>
        <w:lang w:val="id-ID"/>
      </w:rPr>
      <w:t>xxxx</w:t>
    </w:r>
    <w:r w:rsidRPr="00EA6C88">
      <w:rPr>
        <w:rFonts w:ascii="Lato" w:hAnsi="Lato"/>
        <w:lang w:val="id-ID"/>
      </w:rPr>
      <w:t xml:space="preserve">, Pages </w:t>
    </w:r>
    <w:r>
      <w:rPr>
        <w:rFonts w:ascii="Lato" w:hAnsi="Lato"/>
        <w:lang w:val="id-ID"/>
      </w:rPr>
      <w:t>x</w:t>
    </w:r>
    <w:r w:rsidRPr="00EA6C88">
      <w:rPr>
        <w:rFonts w:ascii="Lato" w:hAnsi="Lato"/>
        <w:lang w:val="id-ID"/>
      </w:rPr>
      <w:t>-</w:t>
    </w:r>
    <w:r>
      <w:rPr>
        <w:rFonts w:ascii="Lato" w:hAnsi="Lato"/>
        <w:lang w:val="id-ID"/>
      </w:rPr>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E67E0" w14:textId="5DCA808C" w:rsidR="00EA6C88" w:rsidRPr="00103344" w:rsidRDefault="005D137B" w:rsidP="005416A9">
    <w:pPr>
      <w:pStyle w:val="Footer"/>
      <w:pBdr>
        <w:top w:val="single" w:sz="4" w:space="8" w:color="4F81BD" w:themeColor="accent1"/>
      </w:pBdr>
      <w:shd w:val="clear" w:color="auto" w:fill="404040" w:themeFill="text1" w:themeFillTint="BF"/>
      <w:contextualSpacing/>
      <w:jc w:val="center"/>
      <w:rPr>
        <w:rFonts w:ascii="Book Antiqua" w:hAnsi="Book Antiqua"/>
        <w:noProof/>
        <w:color w:val="FFFFFF" w:themeColor="background1"/>
        <w:sz w:val="16"/>
        <w:szCs w:val="16"/>
      </w:rPr>
    </w:pPr>
    <w:r w:rsidRPr="005D137B">
      <w:rPr>
        <w:rFonts w:ascii="Book Antiqua" w:hAnsi="Book Antiqua"/>
        <w:b/>
        <w:bCs/>
        <w:color w:val="FFFFFF" w:themeColor="background1"/>
        <w:sz w:val="16"/>
        <w:szCs w:val="16"/>
      </w:rPr>
      <w:t>Journal of Law, Economics, and Engineering</w:t>
    </w:r>
    <w:r w:rsidR="00B356E7">
      <w:rPr>
        <w:rFonts w:ascii="Book Antiqua" w:hAnsi="Book Antiqua"/>
        <w:noProof/>
        <w:color w:val="FFFFFF" w:themeColor="background1"/>
        <w:sz w:val="16"/>
        <w:szCs w:val="16"/>
        <w:lang w:val="id-ID"/>
      </w:rPr>
      <w:t>,</w:t>
    </w:r>
    <w:r w:rsidR="005416A9" w:rsidRPr="00D70B69">
      <w:rPr>
        <w:rFonts w:ascii="Book Antiqua" w:hAnsi="Book Antiqua"/>
        <w:noProof/>
        <w:color w:val="FFFFFF" w:themeColor="background1"/>
        <w:sz w:val="16"/>
        <w:szCs w:val="16"/>
        <w:lang w:val="id-ID"/>
      </w:rPr>
      <w:t xml:space="preserve"> </w:t>
    </w:r>
    <w:r w:rsidR="00B356E7">
      <w:rPr>
        <w:rFonts w:ascii="Book Antiqua" w:hAnsi="Book Antiqua"/>
        <w:noProof/>
        <w:color w:val="FFFFFF" w:themeColor="background1"/>
        <w:sz w:val="16"/>
        <w:szCs w:val="16"/>
        <w:lang w:val="id-ID"/>
      </w:rPr>
      <w:t>p</w:t>
    </w:r>
    <w:r w:rsidR="00103344">
      <w:rPr>
        <w:rFonts w:ascii="Book Antiqua" w:hAnsi="Book Antiqua"/>
        <w:noProof/>
        <w:color w:val="FFFFFF" w:themeColor="background1"/>
        <w:sz w:val="16"/>
        <w:szCs w:val="16"/>
        <w:lang w:val="id-ID"/>
      </w:rPr>
      <w:t xml:space="preserve">ages </w:t>
    </w:r>
    <w:r w:rsidR="00103344">
      <w:rPr>
        <w:rFonts w:ascii="Book Antiqua" w:hAnsi="Book Antiqua"/>
        <w:noProof/>
        <w:color w:val="FFFFFF" w:themeColor="background1"/>
        <w:sz w:val="16"/>
        <w:szCs w:val="16"/>
      </w:rPr>
      <w:t>16</w:t>
    </w:r>
    <w:r w:rsidR="00103344">
      <w:rPr>
        <w:rFonts w:ascii="Book Antiqua" w:hAnsi="Book Antiqua"/>
        <w:noProof/>
        <w:color w:val="FFFFFF" w:themeColor="background1"/>
        <w:sz w:val="16"/>
        <w:szCs w:val="16"/>
        <w:lang w:val="id-ID"/>
      </w:rPr>
      <w:t>-</w:t>
    </w:r>
    <w:r w:rsidR="00103344">
      <w:rPr>
        <w:rFonts w:ascii="Book Antiqua" w:hAnsi="Book Antiqua"/>
        <w:noProof/>
        <w:color w:val="FFFFFF" w:themeColor="background1"/>
        <w:sz w:val="16"/>
        <w:szCs w:val="16"/>
      </w:rPr>
      <w:t>21</w:t>
    </w:r>
  </w:p>
  <w:p w14:paraId="43FAD74E" w14:textId="77777777" w:rsidR="005416A9" w:rsidRPr="00D70B69" w:rsidRDefault="005416A9" w:rsidP="005416A9">
    <w:pPr>
      <w:pStyle w:val="Footer"/>
      <w:pBdr>
        <w:top w:val="single" w:sz="4" w:space="8" w:color="4F81BD" w:themeColor="accent1"/>
      </w:pBdr>
      <w:shd w:val="clear" w:color="auto" w:fill="404040" w:themeFill="text1" w:themeFillTint="BF"/>
      <w:contextualSpacing/>
      <w:jc w:val="center"/>
      <w:rPr>
        <w:rFonts w:ascii="Book Antiqua" w:hAnsi="Book Antiqua"/>
        <w:noProof/>
        <w:color w:val="FFFFFF" w:themeColor="background1"/>
        <w:sz w:val="16"/>
        <w:szCs w:val="16"/>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E4D21" w14:textId="77777777" w:rsidR="00A93C4C" w:rsidRDefault="00A93C4C" w:rsidP="00192C40">
    <w:pPr>
      <w:pStyle w:val="Footer"/>
      <w:jc w:val="center"/>
      <w:rPr>
        <w:rFonts w:ascii="Lato" w:hAnsi="Lato"/>
        <w:lang w:val="id-ID"/>
      </w:rPr>
    </w:pPr>
  </w:p>
  <w:p w14:paraId="18605747" w14:textId="43A945F9" w:rsidR="00192C40" w:rsidRPr="00EA6C88" w:rsidRDefault="00192C40" w:rsidP="00192C40">
    <w:pPr>
      <w:pStyle w:val="Footer"/>
      <w:jc w:val="center"/>
      <w:rPr>
        <w:rFonts w:ascii="Lato" w:hAnsi="Lato"/>
        <w:lang w:val="id-ID"/>
      </w:rPr>
    </w:pPr>
    <w:r w:rsidRPr="00EA6C88">
      <w:rPr>
        <w:rFonts w:ascii="Lato" w:hAnsi="Lato"/>
        <w:lang w:val="id-ID"/>
      </w:rPr>
      <w:t xml:space="preserve">Journal </w:t>
    </w:r>
    <w:r w:rsidR="00A93C4C">
      <w:rPr>
        <w:rFonts w:ascii="Lato" w:hAnsi="Lato"/>
      </w:rPr>
      <w:t xml:space="preserve">of </w:t>
    </w:r>
    <w:r w:rsidR="00D93C11" w:rsidRPr="00EA6C88">
      <w:rPr>
        <w:rFonts w:ascii="Lato" w:hAnsi="Lato"/>
        <w:lang w:val="id-ID"/>
      </w:rPr>
      <w:t>Education Research</w:t>
    </w:r>
    <w:r w:rsidR="00BC5407" w:rsidRPr="00EA6C88">
      <w:rPr>
        <w:rFonts w:ascii="Lato" w:hAnsi="Lato"/>
        <w:lang w:val="id-ID"/>
      </w:rPr>
      <w:t>,</w:t>
    </w:r>
    <w:r w:rsidRPr="00EA6C88">
      <w:rPr>
        <w:rFonts w:ascii="Lato" w:hAnsi="Lato"/>
        <w:lang w:val="id-ID"/>
      </w:rPr>
      <w:t xml:space="preserve"> </w:t>
    </w:r>
    <w:r w:rsidR="00A93C4C">
      <w:rPr>
        <w:rFonts w:ascii="Lato" w:hAnsi="Lato"/>
      </w:rPr>
      <w:t xml:space="preserve"> </w:t>
    </w:r>
    <w:r w:rsidR="00EA6C88">
      <w:rPr>
        <w:rFonts w:ascii="Lato" w:hAnsi="Lato"/>
        <w:lang w:val="id-ID"/>
      </w:rPr>
      <w:t>x</w:t>
    </w:r>
    <w:r w:rsidR="00A93C4C">
      <w:rPr>
        <w:rFonts w:ascii="Lato" w:hAnsi="Lato"/>
      </w:rPr>
      <w:t xml:space="preserve"> </w:t>
    </w:r>
    <w:r w:rsidR="00BC5407" w:rsidRPr="00EA6C88">
      <w:rPr>
        <w:rFonts w:ascii="Lato" w:hAnsi="Lato"/>
        <w:lang w:val="id-ID"/>
      </w:rPr>
      <w:t>(</w:t>
    </w:r>
    <w:r w:rsidR="00EA6C88">
      <w:rPr>
        <w:rFonts w:ascii="Lato" w:hAnsi="Lato"/>
        <w:lang w:val="id-ID"/>
      </w:rPr>
      <w:t>x</w:t>
    </w:r>
    <w:r w:rsidR="00BC5407" w:rsidRPr="00EA6C88">
      <w:rPr>
        <w:rFonts w:ascii="Lato" w:hAnsi="Lato"/>
        <w:lang w:val="id-ID"/>
      </w:rPr>
      <w:t>)</w:t>
    </w:r>
    <w:r w:rsidR="00A93C4C">
      <w:rPr>
        <w:rFonts w:ascii="Lato" w:hAnsi="Lato"/>
      </w:rPr>
      <w:t xml:space="preserve">, </w:t>
    </w:r>
    <w:r w:rsidR="00BC5407" w:rsidRPr="00EA6C88">
      <w:rPr>
        <w:rFonts w:ascii="Lato" w:hAnsi="Lato"/>
        <w:lang w:val="id-ID"/>
      </w:rPr>
      <w:t xml:space="preserve"> </w:t>
    </w:r>
    <w:r w:rsidR="00EA6C88">
      <w:rPr>
        <w:rFonts w:ascii="Lato" w:hAnsi="Lato"/>
        <w:lang w:val="id-ID"/>
      </w:rPr>
      <w:t>xxxx</w:t>
    </w:r>
    <w:r w:rsidR="0056752F" w:rsidRPr="00EA6C88">
      <w:rPr>
        <w:rFonts w:ascii="Lato" w:hAnsi="Lato"/>
        <w:lang w:val="id-ID"/>
      </w:rPr>
      <w:t xml:space="preserve">, Pages </w:t>
    </w:r>
    <w:r w:rsidR="00EA6C88">
      <w:rPr>
        <w:rFonts w:ascii="Lato" w:hAnsi="Lato"/>
        <w:lang w:val="id-ID"/>
      </w:rPr>
      <w:t>x</w:t>
    </w:r>
    <w:r w:rsidR="00BC5407" w:rsidRPr="00EA6C88">
      <w:rPr>
        <w:rFonts w:ascii="Lato" w:hAnsi="Lato"/>
        <w:lang w:val="id-ID"/>
      </w:rPr>
      <w:t>-</w:t>
    </w:r>
    <w:r w:rsidR="00EA6C88">
      <w:rPr>
        <w:rFonts w:ascii="Lato" w:hAnsi="Lato"/>
        <w:lang w:val="id-ID"/>
      </w:rPr>
      <w:t>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3FA47" w14:textId="77777777" w:rsidR="002865E7" w:rsidRDefault="002865E7" w:rsidP="0007735B">
      <w:r>
        <w:separator/>
      </w:r>
    </w:p>
  </w:footnote>
  <w:footnote w:type="continuationSeparator" w:id="0">
    <w:p w14:paraId="7F23F1BE" w14:textId="77777777" w:rsidR="002865E7" w:rsidRDefault="002865E7" w:rsidP="00077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Lato" w:hAnsi="Lato"/>
      </w:rPr>
      <w:id w:val="-189842604"/>
      <w:docPartObj>
        <w:docPartGallery w:val="Page Numbers (Top of Page)"/>
        <w:docPartUnique/>
      </w:docPartObj>
    </w:sdtPr>
    <w:sdtEndPr>
      <w:rPr>
        <w:color w:val="808080" w:themeColor="background1" w:themeShade="80"/>
        <w:spacing w:val="60"/>
      </w:rPr>
    </w:sdtEndPr>
    <w:sdtContent>
      <w:p w14:paraId="4C6597EB" w14:textId="76BAC572" w:rsidR="00EA6C88" w:rsidRPr="00EA6C88" w:rsidRDefault="00EA6C88">
        <w:pPr>
          <w:pStyle w:val="Header"/>
          <w:pBdr>
            <w:bottom w:val="single" w:sz="4" w:space="1" w:color="D9D9D9" w:themeColor="background1" w:themeShade="D9"/>
          </w:pBdr>
          <w:rPr>
            <w:rFonts w:ascii="Lato" w:hAnsi="Lato"/>
            <w:b/>
            <w:bCs/>
          </w:rPr>
        </w:pPr>
        <w:r w:rsidRPr="00EA6C88">
          <w:rPr>
            <w:rFonts w:ascii="Lato" w:hAnsi="Lato"/>
          </w:rPr>
          <w:fldChar w:fldCharType="begin"/>
        </w:r>
        <w:r w:rsidRPr="00EA6C88">
          <w:rPr>
            <w:rFonts w:ascii="Lato" w:hAnsi="Lato"/>
          </w:rPr>
          <w:instrText xml:space="preserve"> PAGE   \* MERGEFORMAT </w:instrText>
        </w:r>
        <w:r w:rsidRPr="00EA6C88">
          <w:rPr>
            <w:rFonts w:ascii="Lato" w:hAnsi="Lato"/>
          </w:rPr>
          <w:fldChar w:fldCharType="separate"/>
        </w:r>
        <w:r w:rsidR="00783841" w:rsidRPr="00100451">
          <w:rPr>
            <w:rFonts w:ascii="Lato" w:hAnsi="Lato"/>
            <w:b/>
            <w:bCs/>
            <w:noProof/>
          </w:rPr>
          <w:t>2</w:t>
        </w:r>
        <w:r w:rsidRPr="00EA6C88">
          <w:rPr>
            <w:rFonts w:ascii="Lato" w:hAnsi="Lato"/>
            <w:b/>
            <w:bCs/>
            <w:noProof/>
          </w:rPr>
          <w:fldChar w:fldCharType="end"/>
        </w:r>
        <w:r w:rsidR="00783841" w:rsidRPr="00EA6C88">
          <w:rPr>
            <w:rFonts w:ascii="Lato" w:hAnsi="Lato"/>
            <w:b/>
            <w:bCs/>
          </w:rPr>
          <w:t xml:space="preserve"> | </w:t>
        </w:r>
        <w:r w:rsidRPr="00EA6C88">
          <w:rPr>
            <w:rFonts w:ascii="Lato" w:hAnsi="Lato"/>
            <w:lang w:val="id-ID"/>
          </w:rPr>
          <w:t xml:space="preserve">Judul </w:t>
        </w:r>
        <w:r w:rsidR="00783841">
          <w:rPr>
            <w:rFonts w:ascii="Lato" w:hAnsi="Lato"/>
          </w:rPr>
          <w:t>A</w:t>
        </w:r>
        <w:r w:rsidR="00783841" w:rsidRPr="00EA6C88">
          <w:rPr>
            <w:rFonts w:ascii="Lato" w:hAnsi="Lato"/>
            <w:lang w:val="id-ID"/>
          </w:rPr>
          <w:t>rtikel</w:t>
        </w:r>
        <w:r w:rsidR="00783841">
          <w:rPr>
            <w:rFonts w:ascii="Lato" w:hAnsi="Lato"/>
          </w:rPr>
          <w:t xml:space="preserve"> Font Lato Size 10</w:t>
        </w:r>
      </w:p>
    </w:sdtContent>
  </w:sdt>
  <w:p w14:paraId="3A7647B3" w14:textId="77777777" w:rsidR="00EA6C88" w:rsidRDefault="00EA6C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217547"/>
      <w:docPartObj>
        <w:docPartGallery w:val="Page Numbers (Top of Page)"/>
        <w:docPartUnique/>
      </w:docPartObj>
    </w:sdtPr>
    <w:sdtEndPr/>
    <w:sdtContent>
      <w:p w14:paraId="011848B6" w14:textId="20CD3AFF" w:rsidR="00411097" w:rsidRPr="00411097" w:rsidRDefault="00D86E72">
        <w:pPr>
          <w:pStyle w:val="Header"/>
          <w:ind w:right="-864"/>
          <w:jc w:val="right"/>
        </w:pPr>
        <w:r w:rsidRPr="00B356E7">
          <w:rPr>
            <w:rFonts w:ascii="Book Antiqua" w:hAnsi="Book Antiqua"/>
            <w:b/>
            <w:bCs/>
            <w:sz w:val="28"/>
            <w:szCs w:val="28"/>
          </w:rPr>
          <w:t>Journal of Law, Economics, and Engineering</w:t>
        </w:r>
        <w:r w:rsidRPr="00517B6C">
          <w:rPr>
            <w:rFonts w:ascii="Book Antiqua" w:hAnsi="Book Antiqua"/>
            <w:b/>
            <w:bCs/>
            <w:sz w:val="24"/>
            <w:szCs w:val="24"/>
          </w:rPr>
          <w:t xml:space="preserve"> </w:t>
        </w:r>
        <w:r w:rsidR="00411097" w:rsidRPr="00411097">
          <w:rPr>
            <w:noProof/>
          </w:rPr>
          <mc:AlternateContent>
            <mc:Choice Requires="wpg">
              <w:drawing>
                <wp:inline distT="0" distB="0" distL="0" distR="0" wp14:anchorId="14A7C515" wp14:editId="49D6ACEE">
                  <wp:extent cx="476251" cy="234950"/>
                  <wp:effectExtent l="0" t="0" r="19050" b="12700"/>
                  <wp:docPr id="1754934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1" cy="234950"/>
                            <a:chOff x="614" y="660"/>
                            <a:chExt cx="864" cy="469"/>
                          </a:xfrm>
                        </wpg:grpSpPr>
                        <wps:wsp>
                          <wps:cNvPr id="197876574"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3948819"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300496274" name="Text Box 44"/>
                          <wps:cNvSpPr txBox="1">
                            <a:spLocks noChangeArrowheads="1"/>
                          </wps:cNvSpPr>
                          <wps:spPr bwMode="auto">
                            <a:xfrm>
                              <a:off x="672" y="716"/>
                              <a:ext cx="719"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649C1" w14:textId="77777777" w:rsidR="00411097" w:rsidRPr="00BB0790" w:rsidRDefault="0041109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079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BB079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BB079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103344" w:rsidRPr="00103344">
                                  <w:rPr>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r w:rsidRPr="00BB0790">
                                  <w:rPr>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0" tIns="0" rIns="0" bIns="0" anchor="t" anchorCtr="0" upright="1">
                            <a:noAutofit/>
                          </wps:bodyPr>
                        </wps:wsp>
                      </wpg:wgp>
                    </a:graphicData>
                  </a:graphic>
                </wp:inline>
              </w:drawing>
            </mc:Choice>
            <mc:Fallback>
              <w:pict>
                <v:group w14:anchorId="14A7C515" id="Group 3" o:spid="_x0000_s1026" style="width:37.5pt;height:18.5pt;mso-position-horizontal-relative:char;mso-position-vertical-relative:line" coordorigin="614,660" coordsize="86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">
                  <v:roundrect id="AutoShape 4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O4usgA&#10;AADiAAAADwAAAGRycy9kb3ducmV2LnhtbERPTWvCQBC9F/oflin0Is2m0pqYuooIgR4EadqDxyE7&#10;TUKzsyG7JrG/3hUEj4/3vdpMphUD9a6xrOA1ikEQl1Y3XCn4+c5fUhDOI2tsLZOCMznYrB8fVphp&#10;O/IXDYWvRAhhl6GC2vsuk9KVNRl0ke2IA/dre4M+wL6SuscxhJtWzuN4IQ02HBpq7GhXU/lXnIwC&#10;PT+ncnbI2/9ZfhhOR1/sx7xQ6vlp2n6A8DT5u/jm/tRh/jJJk8V78gbXSwGDX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Q7i6yAAAAOIAAAAPAAAAAAAAAAAAAAAAAJgCAABk&#10;cnMvZG93bnJldi54bWxQSwUGAAAAAAQABAD1AAAAjQMAAAAA&#10;" strokecolor="#e4be84"/>
                  <v:roundrect id="AutoShape 43"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9byMoA&#10;AADgAAAADwAAAGRycy9kb3ducmV2LnhtbESPQUsDMRSE74L/ITzBi7TZVavbbdNSCoI3aStlj8/N&#10;62br5mVJYrv21xtB8DjMzDfMfDnYTpzIh9axgnycgSCunW65UfC+exkVIEJE1tg5JgXfFGC5uL6a&#10;Y6ndmTd02sZGJAiHEhWYGPtSylAbshjGridO3sF5izFJ30jt8ZzgtpP3WfYkLbacFgz2tDZUf26/&#10;rIK3SlbrSfXxvFll/nLI9xe6M0elbm+G1QxEpCH+h//ar1rBw/SxKPIp/B5KZ0Auf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j/W8jKAAAA4AAAAA8AAAAAAAAAAAAAAAAAmAIA&#10;AGRycy9kb3ducmV2LnhtbFBLBQYAAAAABAAEAPUAAACPAwAAAAA=&#10;" fillcolor="#e4be84" strokecolor="#e4be84"/>
                  <v:shapetype id="_x0000_t202" coordsize="21600,21600" o:spt="202" path="m,l,21600r21600,l21600,xe">
                    <v:stroke joinstyle="miter"/>
                    <v:path gradientshapeok="t" o:connecttype="rect"/>
                  </v:shapetype>
                  <v:shape id="Text Box 44" o:spid="_x0000_s1029" type="#_x0000_t202" style="position:absolute;left:672;top:716;width:719;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DHssA&#10;AADiAAAADwAAAGRycy9kb3ducmV2LnhtbESPQUsDMRSE70L/Q3gFbzaxltWuTUspCoIg3a6HHl83&#10;r7uhm5ftJrbrvzeC4HGYmW+YxWpwrbhQH6xnDfcTBYK48sZyreGzfL17AhEissHWM2n4pgCr5ehm&#10;gbnxVy7osou1SBAOOWpoYuxyKUPVkMMw8R1x8o6+dxiT7GtperwmuGvlVKlMOrScFhrsaNNQddp9&#10;OQ3rPRcv9vxx2BbHwpblXPF7dtL6djysn0FEGuJ/+K/9ZjQ8KDWbZ9PHGfxeSndALn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RUoMeywAAAOIAAAAPAAAAAAAAAAAAAAAAAJgC&#10;AABkcnMvZG93bnJldi54bWxQSwUGAAAAAAQABAD1AAAAkAMAAAAA&#10;" filled="f" stroked="f">
                    <v:textbox inset="0,0,0,0">
                      <w:txbxContent>
                        <w:p w14:paraId="5B1649C1" w14:textId="77777777" w:rsidR="00411097" w:rsidRPr="00BB0790" w:rsidRDefault="0041109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079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BB079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BB079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103344" w:rsidRPr="00103344">
                            <w:rPr>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r w:rsidRPr="00BB0790">
                            <w:rPr>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v:shape>
                  <w10:anchorlock/>
                </v:group>
              </w:pict>
            </mc:Fallback>
          </mc:AlternateContent>
        </w:r>
      </w:p>
    </w:sdtContent>
  </w:sdt>
  <w:p w14:paraId="40BC53B7" w14:textId="77777777" w:rsidR="00517B6C" w:rsidRPr="00B356E7" w:rsidRDefault="00517B6C" w:rsidP="00517B6C">
    <w:pPr>
      <w:pStyle w:val="Header"/>
      <w:tabs>
        <w:tab w:val="clear" w:pos="9026"/>
        <w:tab w:val="right" w:pos="8364"/>
      </w:tabs>
      <w:ind w:right="50"/>
      <w:jc w:val="right"/>
      <w:rPr>
        <w:rFonts w:ascii="Book Antiqua" w:hAnsi="Book Antiqua"/>
        <w:b/>
        <w:bCs/>
        <w:sz w:val="24"/>
        <w:szCs w:val="24"/>
      </w:rPr>
    </w:pPr>
    <w:r w:rsidRPr="00B356E7">
      <w:rPr>
        <w:rFonts w:ascii="Book Antiqua" w:hAnsi="Book Antiqua"/>
        <w:b/>
        <w:bCs/>
        <w:sz w:val="24"/>
        <w:szCs w:val="24"/>
      </w:rPr>
      <w:t>ISSN XXX XXX</w:t>
    </w:r>
  </w:p>
  <w:p w14:paraId="1F406558" w14:textId="3BF0942F" w:rsidR="00B356E7" w:rsidRPr="00A3706F" w:rsidRDefault="00B356E7" w:rsidP="00517B6C">
    <w:pPr>
      <w:pStyle w:val="Header"/>
      <w:tabs>
        <w:tab w:val="clear" w:pos="9026"/>
        <w:tab w:val="right" w:pos="8364"/>
      </w:tabs>
      <w:ind w:right="50"/>
      <w:jc w:val="right"/>
      <w:rPr>
        <w:rFonts w:ascii="Book Antiqua" w:hAnsi="Book Antiqua"/>
        <w:b/>
        <w:bCs/>
      </w:rPr>
    </w:pPr>
    <w:r w:rsidRPr="00AB2F9D">
      <w:rPr>
        <w:b/>
        <w:bCs/>
        <w:sz w:val="22"/>
        <w:szCs w:val="22"/>
      </w:rPr>
      <w:t>Vol.</w:t>
    </w:r>
    <w:r w:rsidR="00103344">
      <w:rPr>
        <w:b/>
        <w:bCs/>
        <w:sz w:val="22"/>
        <w:szCs w:val="22"/>
      </w:rPr>
      <w:t>1</w:t>
    </w:r>
    <w:r w:rsidRPr="00AB2F9D">
      <w:rPr>
        <w:b/>
        <w:bCs/>
        <w:sz w:val="22"/>
        <w:szCs w:val="22"/>
      </w:rPr>
      <w:t xml:space="preserve">, No. </w:t>
    </w:r>
    <w:r w:rsidR="00103344">
      <w:rPr>
        <w:b/>
        <w:bCs/>
        <w:sz w:val="22"/>
        <w:szCs w:val="22"/>
      </w:rPr>
      <w:t>1 Tahun</w:t>
    </w:r>
    <w:r w:rsidRPr="00AB2F9D">
      <w:rPr>
        <w:b/>
        <w:bCs/>
        <w:sz w:val="22"/>
        <w:szCs w:val="22"/>
      </w:rPr>
      <w:t xml:space="preserve"> </w:t>
    </w:r>
    <w:r>
      <w:rPr>
        <w:b/>
        <w:bCs/>
        <w:sz w:val="22"/>
        <w:szCs w:val="22"/>
        <w:lang w:val="id-ID"/>
      </w:rPr>
      <w:t>2025</w:t>
    </w:r>
  </w:p>
  <w:p w14:paraId="4FE9B56E" w14:textId="16A2AD7E" w:rsidR="00920063" w:rsidRPr="00B356E7" w:rsidRDefault="00517B6C" w:rsidP="00B356E7">
    <w:pPr>
      <w:pStyle w:val="Header"/>
      <w:tabs>
        <w:tab w:val="clear" w:pos="9026"/>
        <w:tab w:val="right" w:pos="8364"/>
      </w:tabs>
      <w:ind w:right="50"/>
      <w:jc w:val="right"/>
      <w:rPr>
        <w:rFonts w:ascii="Book Antiqua" w:hAnsi="Book Antiqua"/>
        <w:noProof/>
      </w:rPr>
    </w:pPr>
    <w:r w:rsidRPr="00457207">
      <w:rPr>
        <w:rFonts w:ascii="Book Antiqua" w:hAnsi="Book Antiqua"/>
        <w:noProof/>
      </w:rPr>
      <w:t xml:space="preserve">                  </w:t>
    </w:r>
    <w:r w:rsidR="00B356E7" w:rsidRPr="00B356E7">
      <w:rPr>
        <w:rFonts w:ascii="Book Antiqua" w:hAnsi="Book Antiqua"/>
        <w:noProof/>
      </w:rPr>
      <w:t>website:</w:t>
    </w:r>
    <w:r w:rsidRPr="00B356E7">
      <w:rPr>
        <w:rFonts w:ascii="Book Antiqua" w:hAnsi="Book Antiqua"/>
        <w:noProof/>
      </w:rPr>
      <w:t xml:space="preserve"> </w:t>
    </w:r>
    <w:hyperlink r:id="rId1" w:history="1">
      <w:r w:rsidR="000C2BE6" w:rsidRPr="009274E3">
        <w:rPr>
          <w:rStyle w:val="Hyperlink"/>
          <w:rFonts w:ascii="Book Antiqua" w:hAnsi="Book Antiqua"/>
          <w:noProof/>
        </w:rPr>
        <w:t>https://jolens.org</w:t>
      </w:r>
    </w:hyperlink>
    <w:r w:rsidR="000C2BE6">
      <w:rPr>
        <w:rFonts w:ascii="Book Antiqua" w:hAnsi="Book Antiqua"/>
        <w:noProo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3461A" w14:textId="2CAB8CBA" w:rsidR="00EA6C88" w:rsidRPr="00A93C4C" w:rsidRDefault="00EA6C88" w:rsidP="005416A9">
    <w:pPr>
      <w:pStyle w:val="Header"/>
      <w:tabs>
        <w:tab w:val="clear" w:pos="4513"/>
        <w:tab w:val="clear" w:pos="9026"/>
      </w:tabs>
      <w:rPr>
        <w:rFonts w:ascii="Lato" w:hAnsi="Lato"/>
        <w:sz w:val="28"/>
        <w:szCs w:val="28"/>
      </w:rPr>
    </w:pPr>
    <w:r w:rsidRPr="00A93C4C">
      <w:rPr>
        <w:rFonts w:ascii="Lato" w:hAnsi="Lato"/>
        <w:sz w:val="28"/>
        <w:szCs w:val="28"/>
        <w:lang w:val="id-ID"/>
      </w:rPr>
      <w:t xml:space="preserve">Journal </w:t>
    </w:r>
    <w:r w:rsidR="00A93C4C" w:rsidRPr="00A93C4C">
      <w:rPr>
        <w:rFonts w:ascii="Lato" w:hAnsi="Lato"/>
        <w:sz w:val="28"/>
        <w:szCs w:val="28"/>
      </w:rPr>
      <w:t>of</w:t>
    </w:r>
    <w:r w:rsidRPr="00A93C4C">
      <w:rPr>
        <w:rFonts w:ascii="Lato" w:hAnsi="Lato"/>
        <w:sz w:val="28"/>
        <w:szCs w:val="28"/>
        <w:lang w:val="id-ID"/>
      </w:rPr>
      <w:t xml:space="preserve"> Education Research</w:t>
    </w:r>
  </w:p>
  <w:p w14:paraId="3AB54CC1" w14:textId="495952EE" w:rsidR="00EA6C88" w:rsidRPr="005416A9" w:rsidRDefault="00EA6C88" w:rsidP="005416A9">
    <w:pPr>
      <w:pStyle w:val="Header"/>
      <w:tabs>
        <w:tab w:val="clear" w:pos="4513"/>
        <w:tab w:val="clear" w:pos="9026"/>
      </w:tabs>
      <w:rPr>
        <w:rFonts w:ascii="Lato" w:hAnsi="Lato"/>
        <w:sz w:val="16"/>
        <w:szCs w:val="12"/>
        <w:lang w:val="id-ID"/>
      </w:rPr>
    </w:pPr>
    <w:r w:rsidRPr="005416A9">
      <w:rPr>
        <w:rFonts w:ascii="Lato" w:hAnsi="Lato"/>
        <w:sz w:val="16"/>
        <w:szCs w:val="16"/>
        <w:lang w:val="id-ID"/>
      </w:rPr>
      <w:t xml:space="preserve">ISSN : </w:t>
    </w:r>
    <w:r w:rsidR="00A93C4C" w:rsidRPr="005416A9">
      <w:rPr>
        <w:rFonts w:ascii="Lato" w:hAnsi="Lato"/>
        <w:sz w:val="16"/>
        <w:szCs w:val="16"/>
        <w:lang w:val="id-ID"/>
      </w:rPr>
      <w:t xml:space="preserve">2746-0738 </w:t>
    </w:r>
    <w:r w:rsidRPr="005416A9">
      <w:rPr>
        <w:rFonts w:ascii="Lato" w:hAnsi="Lato"/>
        <w:sz w:val="16"/>
        <w:szCs w:val="16"/>
        <w:lang w:val="id-ID"/>
      </w:rPr>
      <w:t>(online</w:t>
    </w:r>
    <w:r w:rsidRPr="005416A9">
      <w:rPr>
        <w:rFonts w:ascii="Lato" w:hAnsi="Lato"/>
        <w:sz w:val="16"/>
        <w:szCs w:val="12"/>
        <w:lang w:val="id-ID"/>
      </w:rPr>
      <w:t>)</w:t>
    </w:r>
  </w:p>
  <w:p w14:paraId="7E36BAE2" w14:textId="3E6950F3" w:rsidR="0056752F" w:rsidRPr="00EA6C88" w:rsidRDefault="0056752F" w:rsidP="00EA6C88">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A19F3"/>
    <w:multiLevelType w:val="hybridMultilevel"/>
    <w:tmpl w:val="7C3A52E0"/>
    <w:lvl w:ilvl="0" w:tplc="D51E6E1C">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83C5932"/>
    <w:multiLevelType w:val="hybridMultilevel"/>
    <w:tmpl w:val="5B22A3A0"/>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2" w15:restartNumberingAfterBreak="0">
    <w:nsid w:val="1EB532B1"/>
    <w:multiLevelType w:val="hybridMultilevel"/>
    <w:tmpl w:val="1C544A6E"/>
    <w:lvl w:ilvl="0" w:tplc="04210019">
      <w:start w:val="1"/>
      <w:numFmt w:val="lowerLetter"/>
      <w:lvlText w:val="%1."/>
      <w:lvlJc w:val="left"/>
      <w:pPr>
        <w:ind w:left="720" w:hanging="360"/>
      </w:pPr>
    </w:lvl>
    <w:lvl w:ilvl="1" w:tplc="E6BC5A46">
      <w:start w:val="1"/>
      <w:numFmt w:val="decimal"/>
      <w:lvlText w:val="%2."/>
      <w:lvlJc w:val="left"/>
      <w:pPr>
        <w:ind w:left="1440" w:hanging="360"/>
      </w:pPr>
      <w:rPr>
        <w:rFonts w:ascii="Arial" w:eastAsiaTheme="minorHAnsi" w:hAnsi="Arial" w:cs="Arial"/>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58C1FA1"/>
    <w:multiLevelType w:val="hybridMultilevel"/>
    <w:tmpl w:val="A182913A"/>
    <w:lvl w:ilvl="0" w:tplc="F3662D68">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FF2E25"/>
    <w:multiLevelType w:val="hybridMultilevel"/>
    <w:tmpl w:val="FA8C8E1A"/>
    <w:lvl w:ilvl="0" w:tplc="0421000F">
      <w:start w:val="1"/>
      <w:numFmt w:val="decimal"/>
      <w:lvlText w:val="%1."/>
      <w:lvlJc w:val="left"/>
      <w:pPr>
        <w:ind w:left="1734" w:hanging="360"/>
      </w:pPr>
      <w:rPr>
        <w:rFonts w:hint="default"/>
      </w:rPr>
    </w:lvl>
    <w:lvl w:ilvl="1" w:tplc="04210003" w:tentative="1">
      <w:start w:val="1"/>
      <w:numFmt w:val="bullet"/>
      <w:lvlText w:val="o"/>
      <w:lvlJc w:val="left"/>
      <w:pPr>
        <w:ind w:left="2454" w:hanging="360"/>
      </w:pPr>
      <w:rPr>
        <w:rFonts w:ascii="Courier New" w:hAnsi="Courier New" w:cs="Courier New" w:hint="default"/>
      </w:rPr>
    </w:lvl>
    <w:lvl w:ilvl="2" w:tplc="04210005" w:tentative="1">
      <w:start w:val="1"/>
      <w:numFmt w:val="bullet"/>
      <w:lvlText w:val=""/>
      <w:lvlJc w:val="left"/>
      <w:pPr>
        <w:ind w:left="3174" w:hanging="360"/>
      </w:pPr>
      <w:rPr>
        <w:rFonts w:ascii="Wingdings" w:hAnsi="Wingdings" w:hint="default"/>
      </w:rPr>
    </w:lvl>
    <w:lvl w:ilvl="3" w:tplc="04210001" w:tentative="1">
      <w:start w:val="1"/>
      <w:numFmt w:val="bullet"/>
      <w:lvlText w:val=""/>
      <w:lvlJc w:val="left"/>
      <w:pPr>
        <w:ind w:left="3894" w:hanging="360"/>
      </w:pPr>
      <w:rPr>
        <w:rFonts w:ascii="Symbol" w:hAnsi="Symbol" w:hint="default"/>
      </w:rPr>
    </w:lvl>
    <w:lvl w:ilvl="4" w:tplc="04210003" w:tentative="1">
      <w:start w:val="1"/>
      <w:numFmt w:val="bullet"/>
      <w:lvlText w:val="o"/>
      <w:lvlJc w:val="left"/>
      <w:pPr>
        <w:ind w:left="4614" w:hanging="360"/>
      </w:pPr>
      <w:rPr>
        <w:rFonts w:ascii="Courier New" w:hAnsi="Courier New" w:cs="Courier New" w:hint="default"/>
      </w:rPr>
    </w:lvl>
    <w:lvl w:ilvl="5" w:tplc="04210005" w:tentative="1">
      <w:start w:val="1"/>
      <w:numFmt w:val="bullet"/>
      <w:lvlText w:val=""/>
      <w:lvlJc w:val="left"/>
      <w:pPr>
        <w:ind w:left="5334" w:hanging="360"/>
      </w:pPr>
      <w:rPr>
        <w:rFonts w:ascii="Wingdings" w:hAnsi="Wingdings" w:hint="default"/>
      </w:rPr>
    </w:lvl>
    <w:lvl w:ilvl="6" w:tplc="04210001" w:tentative="1">
      <w:start w:val="1"/>
      <w:numFmt w:val="bullet"/>
      <w:lvlText w:val=""/>
      <w:lvlJc w:val="left"/>
      <w:pPr>
        <w:ind w:left="6054" w:hanging="360"/>
      </w:pPr>
      <w:rPr>
        <w:rFonts w:ascii="Symbol" w:hAnsi="Symbol" w:hint="default"/>
      </w:rPr>
    </w:lvl>
    <w:lvl w:ilvl="7" w:tplc="04210003" w:tentative="1">
      <w:start w:val="1"/>
      <w:numFmt w:val="bullet"/>
      <w:lvlText w:val="o"/>
      <w:lvlJc w:val="left"/>
      <w:pPr>
        <w:ind w:left="6774" w:hanging="360"/>
      </w:pPr>
      <w:rPr>
        <w:rFonts w:ascii="Courier New" w:hAnsi="Courier New" w:cs="Courier New" w:hint="default"/>
      </w:rPr>
    </w:lvl>
    <w:lvl w:ilvl="8" w:tplc="04210005" w:tentative="1">
      <w:start w:val="1"/>
      <w:numFmt w:val="bullet"/>
      <w:lvlText w:val=""/>
      <w:lvlJc w:val="left"/>
      <w:pPr>
        <w:ind w:left="7494" w:hanging="360"/>
      </w:pPr>
      <w:rPr>
        <w:rFonts w:ascii="Wingdings" w:hAnsi="Wingdings" w:hint="default"/>
      </w:rPr>
    </w:lvl>
  </w:abstractNum>
  <w:abstractNum w:abstractNumId="5" w15:restartNumberingAfterBreak="0">
    <w:nsid w:val="335630C5"/>
    <w:multiLevelType w:val="hybridMultilevel"/>
    <w:tmpl w:val="6CF2F346"/>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6" w15:restartNumberingAfterBreak="0">
    <w:nsid w:val="339170C0"/>
    <w:multiLevelType w:val="hybridMultilevel"/>
    <w:tmpl w:val="069CD3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52A5BDE"/>
    <w:multiLevelType w:val="multilevel"/>
    <w:tmpl w:val="2E421E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6005ED2"/>
    <w:multiLevelType w:val="hybridMultilevel"/>
    <w:tmpl w:val="03E01AEA"/>
    <w:lvl w:ilvl="0" w:tplc="0421000F">
      <w:start w:val="1"/>
      <w:numFmt w:val="decimal"/>
      <w:lvlText w:val="%1."/>
      <w:lvlJc w:val="left"/>
      <w:pPr>
        <w:ind w:left="1117" w:hanging="360"/>
      </w:pPr>
      <w:rPr>
        <w:rFonts w:cs="Times New Roman"/>
      </w:rPr>
    </w:lvl>
    <w:lvl w:ilvl="1" w:tplc="04210019" w:tentative="1">
      <w:start w:val="1"/>
      <w:numFmt w:val="lowerLetter"/>
      <w:lvlText w:val="%2."/>
      <w:lvlJc w:val="left"/>
      <w:pPr>
        <w:ind w:left="1837" w:hanging="360"/>
      </w:pPr>
      <w:rPr>
        <w:rFonts w:cs="Times New Roman"/>
      </w:rPr>
    </w:lvl>
    <w:lvl w:ilvl="2" w:tplc="0421001B" w:tentative="1">
      <w:start w:val="1"/>
      <w:numFmt w:val="lowerRoman"/>
      <w:lvlText w:val="%3."/>
      <w:lvlJc w:val="right"/>
      <w:pPr>
        <w:ind w:left="2557" w:hanging="180"/>
      </w:pPr>
      <w:rPr>
        <w:rFonts w:cs="Times New Roman"/>
      </w:rPr>
    </w:lvl>
    <w:lvl w:ilvl="3" w:tplc="0421000F" w:tentative="1">
      <w:start w:val="1"/>
      <w:numFmt w:val="decimal"/>
      <w:lvlText w:val="%4."/>
      <w:lvlJc w:val="left"/>
      <w:pPr>
        <w:ind w:left="3277" w:hanging="360"/>
      </w:pPr>
      <w:rPr>
        <w:rFonts w:cs="Times New Roman"/>
      </w:rPr>
    </w:lvl>
    <w:lvl w:ilvl="4" w:tplc="04210019" w:tentative="1">
      <w:start w:val="1"/>
      <w:numFmt w:val="lowerLetter"/>
      <w:lvlText w:val="%5."/>
      <w:lvlJc w:val="left"/>
      <w:pPr>
        <w:ind w:left="3997" w:hanging="360"/>
      </w:pPr>
      <w:rPr>
        <w:rFonts w:cs="Times New Roman"/>
      </w:rPr>
    </w:lvl>
    <w:lvl w:ilvl="5" w:tplc="0421001B" w:tentative="1">
      <w:start w:val="1"/>
      <w:numFmt w:val="lowerRoman"/>
      <w:lvlText w:val="%6."/>
      <w:lvlJc w:val="right"/>
      <w:pPr>
        <w:ind w:left="4717" w:hanging="180"/>
      </w:pPr>
      <w:rPr>
        <w:rFonts w:cs="Times New Roman"/>
      </w:rPr>
    </w:lvl>
    <w:lvl w:ilvl="6" w:tplc="0421000F" w:tentative="1">
      <w:start w:val="1"/>
      <w:numFmt w:val="decimal"/>
      <w:lvlText w:val="%7."/>
      <w:lvlJc w:val="left"/>
      <w:pPr>
        <w:ind w:left="5437" w:hanging="360"/>
      </w:pPr>
      <w:rPr>
        <w:rFonts w:cs="Times New Roman"/>
      </w:rPr>
    </w:lvl>
    <w:lvl w:ilvl="7" w:tplc="04210019" w:tentative="1">
      <w:start w:val="1"/>
      <w:numFmt w:val="lowerLetter"/>
      <w:lvlText w:val="%8."/>
      <w:lvlJc w:val="left"/>
      <w:pPr>
        <w:ind w:left="6157" w:hanging="360"/>
      </w:pPr>
      <w:rPr>
        <w:rFonts w:cs="Times New Roman"/>
      </w:rPr>
    </w:lvl>
    <w:lvl w:ilvl="8" w:tplc="0421001B" w:tentative="1">
      <w:start w:val="1"/>
      <w:numFmt w:val="lowerRoman"/>
      <w:lvlText w:val="%9."/>
      <w:lvlJc w:val="right"/>
      <w:pPr>
        <w:ind w:left="6877" w:hanging="180"/>
      </w:pPr>
      <w:rPr>
        <w:rFonts w:cs="Times New Roman"/>
      </w:rPr>
    </w:lvl>
  </w:abstractNum>
  <w:abstractNum w:abstractNumId="9" w15:restartNumberingAfterBreak="0">
    <w:nsid w:val="3773042A"/>
    <w:multiLevelType w:val="hybridMultilevel"/>
    <w:tmpl w:val="2D3A988A"/>
    <w:lvl w:ilvl="0" w:tplc="93B8A826">
      <w:start w:val="1"/>
      <w:numFmt w:val="decimal"/>
      <w:lvlText w:val="%1."/>
      <w:lvlJc w:val="left"/>
      <w:pPr>
        <w:ind w:left="578" w:hanging="360"/>
      </w:pPr>
      <w:rPr>
        <w:rFonts w:ascii="Arial" w:eastAsia="Times New Roman" w:hAnsi="Arial" w:cs="Arial"/>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10" w15:restartNumberingAfterBreak="0">
    <w:nsid w:val="38170616"/>
    <w:multiLevelType w:val="hybridMultilevel"/>
    <w:tmpl w:val="EC425C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9313CF5"/>
    <w:multiLevelType w:val="hybridMultilevel"/>
    <w:tmpl w:val="73C00204"/>
    <w:lvl w:ilvl="0" w:tplc="C94CFF1E">
      <w:start w:val="1"/>
      <w:numFmt w:val="decimal"/>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700553"/>
    <w:multiLevelType w:val="hybridMultilevel"/>
    <w:tmpl w:val="C096F35A"/>
    <w:lvl w:ilvl="0" w:tplc="6652AF7C">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F4A0402"/>
    <w:multiLevelType w:val="hybridMultilevel"/>
    <w:tmpl w:val="858230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5346C60"/>
    <w:multiLevelType w:val="hybridMultilevel"/>
    <w:tmpl w:val="2DB61F7E"/>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15" w15:restartNumberingAfterBreak="0">
    <w:nsid w:val="6651732B"/>
    <w:multiLevelType w:val="hybridMultilevel"/>
    <w:tmpl w:val="493CDC16"/>
    <w:lvl w:ilvl="0" w:tplc="08090011">
      <w:start w:val="1"/>
      <w:numFmt w:val="decimal"/>
      <w:lvlText w:val="%1)"/>
      <w:lvlJc w:val="left"/>
      <w:pPr>
        <w:ind w:left="2234" w:hanging="360"/>
      </w:pPr>
      <w:rPr>
        <w:rFonts w:cs="Times New Roman"/>
      </w:rPr>
    </w:lvl>
    <w:lvl w:ilvl="1" w:tplc="08090019" w:tentative="1">
      <w:start w:val="1"/>
      <w:numFmt w:val="lowerLetter"/>
      <w:lvlText w:val="%2."/>
      <w:lvlJc w:val="left"/>
      <w:pPr>
        <w:ind w:left="2954" w:hanging="360"/>
      </w:pPr>
      <w:rPr>
        <w:rFonts w:cs="Times New Roman"/>
      </w:rPr>
    </w:lvl>
    <w:lvl w:ilvl="2" w:tplc="0809001B" w:tentative="1">
      <w:start w:val="1"/>
      <w:numFmt w:val="lowerRoman"/>
      <w:lvlText w:val="%3."/>
      <w:lvlJc w:val="right"/>
      <w:pPr>
        <w:ind w:left="3674" w:hanging="180"/>
      </w:pPr>
      <w:rPr>
        <w:rFonts w:cs="Times New Roman"/>
      </w:rPr>
    </w:lvl>
    <w:lvl w:ilvl="3" w:tplc="0809000F" w:tentative="1">
      <w:start w:val="1"/>
      <w:numFmt w:val="decimal"/>
      <w:lvlText w:val="%4."/>
      <w:lvlJc w:val="left"/>
      <w:pPr>
        <w:ind w:left="4394" w:hanging="360"/>
      </w:pPr>
      <w:rPr>
        <w:rFonts w:cs="Times New Roman"/>
      </w:rPr>
    </w:lvl>
    <w:lvl w:ilvl="4" w:tplc="08090019" w:tentative="1">
      <w:start w:val="1"/>
      <w:numFmt w:val="lowerLetter"/>
      <w:lvlText w:val="%5."/>
      <w:lvlJc w:val="left"/>
      <w:pPr>
        <w:ind w:left="5114" w:hanging="360"/>
      </w:pPr>
      <w:rPr>
        <w:rFonts w:cs="Times New Roman"/>
      </w:rPr>
    </w:lvl>
    <w:lvl w:ilvl="5" w:tplc="0809001B" w:tentative="1">
      <w:start w:val="1"/>
      <w:numFmt w:val="lowerRoman"/>
      <w:lvlText w:val="%6."/>
      <w:lvlJc w:val="right"/>
      <w:pPr>
        <w:ind w:left="5834" w:hanging="180"/>
      </w:pPr>
      <w:rPr>
        <w:rFonts w:cs="Times New Roman"/>
      </w:rPr>
    </w:lvl>
    <w:lvl w:ilvl="6" w:tplc="0809000F" w:tentative="1">
      <w:start w:val="1"/>
      <w:numFmt w:val="decimal"/>
      <w:lvlText w:val="%7."/>
      <w:lvlJc w:val="left"/>
      <w:pPr>
        <w:ind w:left="6554" w:hanging="360"/>
      </w:pPr>
      <w:rPr>
        <w:rFonts w:cs="Times New Roman"/>
      </w:rPr>
    </w:lvl>
    <w:lvl w:ilvl="7" w:tplc="08090019" w:tentative="1">
      <w:start w:val="1"/>
      <w:numFmt w:val="lowerLetter"/>
      <w:lvlText w:val="%8."/>
      <w:lvlJc w:val="left"/>
      <w:pPr>
        <w:ind w:left="7274" w:hanging="360"/>
      </w:pPr>
      <w:rPr>
        <w:rFonts w:cs="Times New Roman"/>
      </w:rPr>
    </w:lvl>
    <w:lvl w:ilvl="8" w:tplc="0809001B" w:tentative="1">
      <w:start w:val="1"/>
      <w:numFmt w:val="lowerRoman"/>
      <w:lvlText w:val="%9."/>
      <w:lvlJc w:val="right"/>
      <w:pPr>
        <w:ind w:left="7994" w:hanging="180"/>
      </w:pPr>
      <w:rPr>
        <w:rFonts w:cs="Times New Roman"/>
      </w:rPr>
    </w:lvl>
  </w:abstractNum>
  <w:abstractNum w:abstractNumId="16" w15:restartNumberingAfterBreak="0">
    <w:nsid w:val="7375146F"/>
    <w:multiLevelType w:val="hybridMultilevel"/>
    <w:tmpl w:val="484CF04A"/>
    <w:lvl w:ilvl="0" w:tplc="CA026130">
      <w:start w:val="1"/>
      <w:numFmt w:val="decimal"/>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6"/>
  </w:num>
  <w:num w:numId="3">
    <w:abstractNumId w:val="11"/>
  </w:num>
  <w:num w:numId="4">
    <w:abstractNumId w:val="16"/>
  </w:num>
  <w:num w:numId="5">
    <w:abstractNumId w:val="10"/>
  </w:num>
  <w:num w:numId="6">
    <w:abstractNumId w:val="13"/>
  </w:num>
  <w:num w:numId="7">
    <w:abstractNumId w:val="12"/>
  </w:num>
  <w:num w:numId="8">
    <w:abstractNumId w:val="0"/>
  </w:num>
  <w:num w:numId="9">
    <w:abstractNumId w:val="8"/>
  </w:num>
  <w:num w:numId="10">
    <w:abstractNumId w:val="5"/>
  </w:num>
  <w:num w:numId="11">
    <w:abstractNumId w:val="14"/>
  </w:num>
  <w:num w:numId="12">
    <w:abstractNumId w:val="1"/>
  </w:num>
  <w:num w:numId="13">
    <w:abstractNumId w:val="15"/>
  </w:num>
  <w:num w:numId="14">
    <w:abstractNumId w:val="4"/>
  </w:num>
  <w:num w:numId="15">
    <w:abstractNumId w:val="9"/>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35B"/>
    <w:rsid w:val="00001432"/>
    <w:rsid w:val="00006215"/>
    <w:rsid w:val="00010F69"/>
    <w:rsid w:val="0001524C"/>
    <w:rsid w:val="000206AD"/>
    <w:rsid w:val="000263FA"/>
    <w:rsid w:val="00032D80"/>
    <w:rsid w:val="00041BDA"/>
    <w:rsid w:val="000602F7"/>
    <w:rsid w:val="000631B3"/>
    <w:rsid w:val="0007291B"/>
    <w:rsid w:val="0007735B"/>
    <w:rsid w:val="000779D8"/>
    <w:rsid w:val="00081974"/>
    <w:rsid w:val="000A5FBB"/>
    <w:rsid w:val="000B581D"/>
    <w:rsid w:val="000C2BE6"/>
    <w:rsid w:val="000D0A93"/>
    <w:rsid w:val="000D480A"/>
    <w:rsid w:val="000E577D"/>
    <w:rsid w:val="000F093B"/>
    <w:rsid w:val="00100451"/>
    <w:rsid w:val="00103344"/>
    <w:rsid w:val="00121E9F"/>
    <w:rsid w:val="00135CBF"/>
    <w:rsid w:val="00152096"/>
    <w:rsid w:val="00163FC2"/>
    <w:rsid w:val="0016541F"/>
    <w:rsid w:val="00192B99"/>
    <w:rsid w:val="00192C40"/>
    <w:rsid w:val="00194672"/>
    <w:rsid w:val="001A2D7D"/>
    <w:rsid w:val="001A5DA8"/>
    <w:rsid w:val="001C2B9F"/>
    <w:rsid w:val="001C6DDD"/>
    <w:rsid w:val="001E1562"/>
    <w:rsid w:val="00200A06"/>
    <w:rsid w:val="002128AC"/>
    <w:rsid w:val="00213E4A"/>
    <w:rsid w:val="00221BAB"/>
    <w:rsid w:val="00240E2F"/>
    <w:rsid w:val="002521FD"/>
    <w:rsid w:val="0025541C"/>
    <w:rsid w:val="002626A6"/>
    <w:rsid w:val="0027363A"/>
    <w:rsid w:val="00273FE2"/>
    <w:rsid w:val="002835B5"/>
    <w:rsid w:val="002865E7"/>
    <w:rsid w:val="0029799C"/>
    <w:rsid w:val="002A488D"/>
    <w:rsid w:val="002B55BD"/>
    <w:rsid w:val="002C2DBE"/>
    <w:rsid w:val="002E11DB"/>
    <w:rsid w:val="002E21EA"/>
    <w:rsid w:val="002E3643"/>
    <w:rsid w:val="002F3A08"/>
    <w:rsid w:val="00310CF9"/>
    <w:rsid w:val="00314702"/>
    <w:rsid w:val="00317E8B"/>
    <w:rsid w:val="00325694"/>
    <w:rsid w:val="0033046E"/>
    <w:rsid w:val="00356AF0"/>
    <w:rsid w:val="00357C3B"/>
    <w:rsid w:val="0036329E"/>
    <w:rsid w:val="00387914"/>
    <w:rsid w:val="00390035"/>
    <w:rsid w:val="003905CF"/>
    <w:rsid w:val="0039660E"/>
    <w:rsid w:val="003A2924"/>
    <w:rsid w:val="003A66F7"/>
    <w:rsid w:val="003A6DD8"/>
    <w:rsid w:val="003B626D"/>
    <w:rsid w:val="003D12B2"/>
    <w:rsid w:val="003F0160"/>
    <w:rsid w:val="003F407B"/>
    <w:rsid w:val="00411097"/>
    <w:rsid w:val="004179CF"/>
    <w:rsid w:val="004321C7"/>
    <w:rsid w:val="004337A7"/>
    <w:rsid w:val="0043692B"/>
    <w:rsid w:val="0045598A"/>
    <w:rsid w:val="00481854"/>
    <w:rsid w:val="00482D53"/>
    <w:rsid w:val="004957FF"/>
    <w:rsid w:val="004A2D0E"/>
    <w:rsid w:val="004C175D"/>
    <w:rsid w:val="004D64E4"/>
    <w:rsid w:val="004E3BD0"/>
    <w:rsid w:val="004E795D"/>
    <w:rsid w:val="00510C68"/>
    <w:rsid w:val="00516612"/>
    <w:rsid w:val="00517B6C"/>
    <w:rsid w:val="00523503"/>
    <w:rsid w:val="00536513"/>
    <w:rsid w:val="005416A9"/>
    <w:rsid w:val="005536D1"/>
    <w:rsid w:val="005673F0"/>
    <w:rsid w:val="0056752F"/>
    <w:rsid w:val="00567C86"/>
    <w:rsid w:val="005719DA"/>
    <w:rsid w:val="00581198"/>
    <w:rsid w:val="005C2EA9"/>
    <w:rsid w:val="005C3262"/>
    <w:rsid w:val="005D137B"/>
    <w:rsid w:val="005E4390"/>
    <w:rsid w:val="005E7B87"/>
    <w:rsid w:val="006032E2"/>
    <w:rsid w:val="00617198"/>
    <w:rsid w:val="006179E3"/>
    <w:rsid w:val="00625D7E"/>
    <w:rsid w:val="006266A0"/>
    <w:rsid w:val="00632C34"/>
    <w:rsid w:val="00633F62"/>
    <w:rsid w:val="006456DD"/>
    <w:rsid w:val="00646079"/>
    <w:rsid w:val="006629E0"/>
    <w:rsid w:val="00691AB5"/>
    <w:rsid w:val="006B08A9"/>
    <w:rsid w:val="006C13DE"/>
    <w:rsid w:val="006D6E02"/>
    <w:rsid w:val="006E5D02"/>
    <w:rsid w:val="007041B3"/>
    <w:rsid w:val="00730DFC"/>
    <w:rsid w:val="0073371D"/>
    <w:rsid w:val="007415FF"/>
    <w:rsid w:val="007579D2"/>
    <w:rsid w:val="00762DE6"/>
    <w:rsid w:val="00775C59"/>
    <w:rsid w:val="00777FE1"/>
    <w:rsid w:val="00782080"/>
    <w:rsid w:val="00783841"/>
    <w:rsid w:val="007A0730"/>
    <w:rsid w:val="007A5C90"/>
    <w:rsid w:val="007C275F"/>
    <w:rsid w:val="007E1EA0"/>
    <w:rsid w:val="007E7439"/>
    <w:rsid w:val="007F0AA0"/>
    <w:rsid w:val="007F635D"/>
    <w:rsid w:val="008023C2"/>
    <w:rsid w:val="00806D2B"/>
    <w:rsid w:val="008137D6"/>
    <w:rsid w:val="0081380B"/>
    <w:rsid w:val="00813B2A"/>
    <w:rsid w:val="008172FF"/>
    <w:rsid w:val="00823A56"/>
    <w:rsid w:val="0082462A"/>
    <w:rsid w:val="00827ACB"/>
    <w:rsid w:val="00842D9D"/>
    <w:rsid w:val="00843148"/>
    <w:rsid w:val="0084454A"/>
    <w:rsid w:val="008600CF"/>
    <w:rsid w:val="008B19A4"/>
    <w:rsid w:val="008C28EE"/>
    <w:rsid w:val="008C5FFD"/>
    <w:rsid w:val="008C784C"/>
    <w:rsid w:val="008F68FD"/>
    <w:rsid w:val="00901522"/>
    <w:rsid w:val="00912B4A"/>
    <w:rsid w:val="00912F9B"/>
    <w:rsid w:val="00920063"/>
    <w:rsid w:val="00932ABB"/>
    <w:rsid w:val="0093452B"/>
    <w:rsid w:val="009359D4"/>
    <w:rsid w:val="009422ED"/>
    <w:rsid w:val="00947994"/>
    <w:rsid w:val="00975170"/>
    <w:rsid w:val="00993E24"/>
    <w:rsid w:val="009A3A4A"/>
    <w:rsid w:val="009A6607"/>
    <w:rsid w:val="009B0C04"/>
    <w:rsid w:val="009D2ABF"/>
    <w:rsid w:val="009D4221"/>
    <w:rsid w:val="009F64EA"/>
    <w:rsid w:val="00A125E2"/>
    <w:rsid w:val="00A16093"/>
    <w:rsid w:val="00A26C27"/>
    <w:rsid w:val="00A27AA1"/>
    <w:rsid w:val="00A47DA8"/>
    <w:rsid w:val="00A524B9"/>
    <w:rsid w:val="00A56039"/>
    <w:rsid w:val="00A63432"/>
    <w:rsid w:val="00A8335D"/>
    <w:rsid w:val="00A93C4C"/>
    <w:rsid w:val="00AA204F"/>
    <w:rsid w:val="00AA3CC6"/>
    <w:rsid w:val="00AA639B"/>
    <w:rsid w:val="00AB0A1B"/>
    <w:rsid w:val="00AB3C6E"/>
    <w:rsid w:val="00AC2E7A"/>
    <w:rsid w:val="00AF7340"/>
    <w:rsid w:val="00B11283"/>
    <w:rsid w:val="00B24CD3"/>
    <w:rsid w:val="00B33406"/>
    <w:rsid w:val="00B356E7"/>
    <w:rsid w:val="00B44E0C"/>
    <w:rsid w:val="00B459C8"/>
    <w:rsid w:val="00B70060"/>
    <w:rsid w:val="00B75908"/>
    <w:rsid w:val="00BB0790"/>
    <w:rsid w:val="00BC5407"/>
    <w:rsid w:val="00BC69E6"/>
    <w:rsid w:val="00BD3EA0"/>
    <w:rsid w:val="00BE4A2D"/>
    <w:rsid w:val="00BE6C5B"/>
    <w:rsid w:val="00BF159D"/>
    <w:rsid w:val="00C000F6"/>
    <w:rsid w:val="00C11E7A"/>
    <w:rsid w:val="00C47116"/>
    <w:rsid w:val="00C50A9B"/>
    <w:rsid w:val="00C55475"/>
    <w:rsid w:val="00C7364F"/>
    <w:rsid w:val="00C747A0"/>
    <w:rsid w:val="00CA01D3"/>
    <w:rsid w:val="00CC7160"/>
    <w:rsid w:val="00CC7A74"/>
    <w:rsid w:val="00CC7A87"/>
    <w:rsid w:val="00CD586B"/>
    <w:rsid w:val="00CE5429"/>
    <w:rsid w:val="00CF1DF2"/>
    <w:rsid w:val="00D230A3"/>
    <w:rsid w:val="00D45F71"/>
    <w:rsid w:val="00D54793"/>
    <w:rsid w:val="00D70B69"/>
    <w:rsid w:val="00D86E72"/>
    <w:rsid w:val="00D93C11"/>
    <w:rsid w:val="00DA1E3B"/>
    <w:rsid w:val="00DA2457"/>
    <w:rsid w:val="00DB26BD"/>
    <w:rsid w:val="00DB32F5"/>
    <w:rsid w:val="00DD36A9"/>
    <w:rsid w:val="00DD7E97"/>
    <w:rsid w:val="00DE3B3C"/>
    <w:rsid w:val="00E00C01"/>
    <w:rsid w:val="00E02199"/>
    <w:rsid w:val="00E25814"/>
    <w:rsid w:val="00E301B5"/>
    <w:rsid w:val="00E5017A"/>
    <w:rsid w:val="00E5355E"/>
    <w:rsid w:val="00E61471"/>
    <w:rsid w:val="00E64B8C"/>
    <w:rsid w:val="00E713D0"/>
    <w:rsid w:val="00E74793"/>
    <w:rsid w:val="00E92DB7"/>
    <w:rsid w:val="00E947FD"/>
    <w:rsid w:val="00EA3F21"/>
    <w:rsid w:val="00EA6C88"/>
    <w:rsid w:val="00EB7E17"/>
    <w:rsid w:val="00EC660A"/>
    <w:rsid w:val="00ED3651"/>
    <w:rsid w:val="00ED5BC9"/>
    <w:rsid w:val="00EE2BC2"/>
    <w:rsid w:val="00EF00CE"/>
    <w:rsid w:val="00F07F87"/>
    <w:rsid w:val="00F31E54"/>
    <w:rsid w:val="00F437B3"/>
    <w:rsid w:val="00F6179A"/>
    <w:rsid w:val="00F6292D"/>
    <w:rsid w:val="00F64A2A"/>
    <w:rsid w:val="00F65525"/>
    <w:rsid w:val="00F67467"/>
    <w:rsid w:val="00F8067D"/>
    <w:rsid w:val="00F90118"/>
    <w:rsid w:val="00F91B28"/>
    <w:rsid w:val="00F93539"/>
    <w:rsid w:val="00FB1055"/>
    <w:rsid w:val="00FC2198"/>
    <w:rsid w:val="00FD2E2B"/>
    <w:rsid w:val="00FF5A31"/>
    <w:rsid w:val="00FF60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F25588"/>
  <w15:docId w15:val="{213A7B9C-81CD-4DE7-8E84-B0AA81BB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16093"/>
    <w:pPr>
      <w:tabs>
        <w:tab w:val="center" w:pos="4513"/>
        <w:tab w:val="right" w:pos="9026"/>
      </w:tabs>
    </w:pPr>
  </w:style>
  <w:style w:type="character" w:customStyle="1" w:styleId="HeaderChar">
    <w:name w:val="Header Char"/>
    <w:basedOn w:val="DefaultParagraphFont"/>
    <w:link w:val="Header"/>
    <w:uiPriority w:val="99"/>
    <w:rsid w:val="00A16093"/>
  </w:style>
  <w:style w:type="paragraph" w:styleId="Footer">
    <w:name w:val="footer"/>
    <w:basedOn w:val="Normal"/>
    <w:link w:val="FooterChar"/>
    <w:uiPriority w:val="99"/>
    <w:unhideWhenUsed/>
    <w:rsid w:val="00A16093"/>
    <w:pPr>
      <w:tabs>
        <w:tab w:val="center" w:pos="4513"/>
        <w:tab w:val="right" w:pos="9026"/>
      </w:tabs>
    </w:pPr>
  </w:style>
  <w:style w:type="character" w:customStyle="1" w:styleId="FooterChar">
    <w:name w:val="Footer Char"/>
    <w:basedOn w:val="DefaultParagraphFont"/>
    <w:link w:val="Footer"/>
    <w:uiPriority w:val="99"/>
    <w:rsid w:val="00A16093"/>
  </w:style>
  <w:style w:type="character" w:styleId="Hyperlink">
    <w:name w:val="Hyperlink"/>
    <w:basedOn w:val="DefaultParagraphFont"/>
    <w:uiPriority w:val="99"/>
    <w:unhideWhenUsed/>
    <w:rsid w:val="00A16093"/>
    <w:rPr>
      <w:color w:val="0000FF" w:themeColor="hyperlink"/>
      <w:u w:val="single"/>
    </w:rPr>
  </w:style>
  <w:style w:type="paragraph" w:styleId="ListParagraph">
    <w:name w:val="List Paragraph"/>
    <w:basedOn w:val="Normal"/>
    <w:link w:val="ListParagraphChar"/>
    <w:uiPriority w:val="34"/>
    <w:qFormat/>
    <w:rsid w:val="005C2EA9"/>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16612"/>
    <w:rPr>
      <w:rFonts w:ascii="Tahoma" w:hAnsi="Tahoma" w:cs="Tahoma"/>
      <w:sz w:val="16"/>
      <w:szCs w:val="16"/>
    </w:rPr>
  </w:style>
  <w:style w:type="character" w:customStyle="1" w:styleId="BalloonTextChar">
    <w:name w:val="Balloon Text Char"/>
    <w:basedOn w:val="DefaultParagraphFont"/>
    <w:link w:val="BalloonText"/>
    <w:uiPriority w:val="99"/>
    <w:semiHidden/>
    <w:rsid w:val="00516612"/>
    <w:rPr>
      <w:rFonts w:ascii="Tahoma" w:hAnsi="Tahoma" w:cs="Tahoma"/>
      <w:sz w:val="16"/>
      <w:szCs w:val="16"/>
    </w:rPr>
  </w:style>
  <w:style w:type="character" w:customStyle="1" w:styleId="kcmread1114">
    <w:name w:val="kcmread1114"/>
    <w:basedOn w:val="DefaultParagraphFont"/>
    <w:rsid w:val="008F68FD"/>
  </w:style>
  <w:style w:type="character" w:customStyle="1" w:styleId="ListParagraphChar">
    <w:name w:val="List Paragraph Char"/>
    <w:basedOn w:val="DefaultParagraphFont"/>
    <w:link w:val="ListParagraph"/>
    <w:uiPriority w:val="34"/>
    <w:locked/>
    <w:rsid w:val="008F68FD"/>
    <w:rPr>
      <w:rFonts w:asciiTheme="minorHAnsi" w:eastAsiaTheme="minorHAnsi" w:hAnsiTheme="minorHAnsi" w:cstheme="minorBidi"/>
      <w:sz w:val="22"/>
      <w:szCs w:val="22"/>
    </w:rPr>
  </w:style>
  <w:style w:type="character" w:customStyle="1" w:styleId="apple-converted-space">
    <w:name w:val="apple-converted-space"/>
    <w:basedOn w:val="DefaultParagraphFont"/>
    <w:rsid w:val="008F68FD"/>
  </w:style>
  <w:style w:type="character" w:customStyle="1" w:styleId="apple-style-span">
    <w:name w:val="apple-style-span"/>
    <w:basedOn w:val="DefaultParagraphFont"/>
    <w:rsid w:val="008F68FD"/>
    <w:rPr>
      <w:rFonts w:cs="Times New Roman"/>
    </w:rPr>
  </w:style>
  <w:style w:type="paragraph" w:styleId="FootnoteText">
    <w:name w:val="footnote text"/>
    <w:aliases w:val="Char"/>
    <w:basedOn w:val="Normal"/>
    <w:link w:val="FootnoteTextChar"/>
    <w:uiPriority w:val="99"/>
    <w:unhideWhenUsed/>
    <w:rsid w:val="0025541C"/>
    <w:rPr>
      <w:rFonts w:asciiTheme="minorHAnsi" w:eastAsiaTheme="minorEastAsia" w:hAnsiTheme="minorHAnsi" w:cstheme="minorBidi"/>
      <w:lang w:eastAsia="ja-JP"/>
    </w:rPr>
  </w:style>
  <w:style w:type="character" w:customStyle="1" w:styleId="FootnoteTextChar">
    <w:name w:val="Footnote Text Char"/>
    <w:aliases w:val="Char Char"/>
    <w:basedOn w:val="DefaultParagraphFont"/>
    <w:link w:val="FootnoteText"/>
    <w:uiPriority w:val="99"/>
    <w:rsid w:val="0025541C"/>
    <w:rPr>
      <w:rFonts w:asciiTheme="minorHAnsi" w:eastAsiaTheme="minorEastAsia" w:hAnsiTheme="minorHAnsi" w:cstheme="minorBidi"/>
      <w:lang w:eastAsia="ja-JP"/>
    </w:rPr>
  </w:style>
  <w:style w:type="character" w:styleId="Strong">
    <w:name w:val="Strong"/>
    <w:basedOn w:val="DefaultParagraphFont"/>
    <w:uiPriority w:val="22"/>
    <w:qFormat/>
    <w:rsid w:val="005C3262"/>
    <w:rPr>
      <w:b/>
      <w:bCs/>
    </w:rPr>
  </w:style>
  <w:style w:type="paragraph" w:customStyle="1" w:styleId="Tabel">
    <w:name w:val="Tabel"/>
    <w:basedOn w:val="Normal"/>
    <w:link w:val="TabelChar"/>
    <w:qFormat/>
    <w:rsid w:val="00813B2A"/>
    <w:pPr>
      <w:jc w:val="center"/>
    </w:pPr>
    <w:rPr>
      <w:rFonts w:ascii="Arial Narrow" w:hAnsi="Arial Narrow"/>
      <w:color w:val="000000"/>
      <w:sz w:val="24"/>
      <w:szCs w:val="22"/>
      <w:lang w:val="id-ID" w:eastAsia="id-ID"/>
    </w:rPr>
  </w:style>
  <w:style w:type="character" w:customStyle="1" w:styleId="TabelChar">
    <w:name w:val="Tabel Char"/>
    <w:link w:val="Tabel"/>
    <w:rsid w:val="00813B2A"/>
    <w:rPr>
      <w:rFonts w:ascii="Arial Narrow" w:hAnsi="Arial Narrow"/>
      <w:color w:val="000000"/>
      <w:sz w:val="24"/>
      <w:szCs w:val="22"/>
      <w:lang w:val="id-ID" w:eastAsia="id-ID"/>
    </w:rPr>
  </w:style>
  <w:style w:type="character" w:customStyle="1" w:styleId="type2">
    <w:name w:val="type2"/>
    <w:basedOn w:val="DefaultParagraphFont"/>
    <w:rsid w:val="00D230A3"/>
  </w:style>
  <w:style w:type="character" w:customStyle="1" w:styleId="id">
    <w:name w:val="id"/>
    <w:basedOn w:val="DefaultParagraphFont"/>
    <w:rsid w:val="00D230A3"/>
  </w:style>
  <w:style w:type="character" w:customStyle="1" w:styleId="UnresolvedMention1">
    <w:name w:val="Unresolved Mention1"/>
    <w:basedOn w:val="DefaultParagraphFont"/>
    <w:uiPriority w:val="99"/>
    <w:semiHidden/>
    <w:unhideWhenUsed/>
    <w:rsid w:val="00D230A3"/>
    <w:rPr>
      <w:color w:val="808080"/>
      <w:shd w:val="clear" w:color="auto" w:fill="E6E6E6"/>
    </w:rPr>
  </w:style>
  <w:style w:type="table" w:styleId="TableGrid">
    <w:name w:val="Table Grid"/>
    <w:basedOn w:val="TableNormal"/>
    <w:uiPriority w:val="59"/>
    <w:rsid w:val="00192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92C40"/>
    <w:rPr>
      <w:vertAlign w:val="superscript"/>
    </w:rPr>
  </w:style>
  <w:style w:type="table" w:styleId="PlainTable2">
    <w:name w:val="Plain Table 2"/>
    <w:basedOn w:val="TableNormal"/>
    <w:uiPriority w:val="42"/>
    <w:rsid w:val="003147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A47DA8"/>
    <w:pPr>
      <w:spacing w:before="100" w:beforeAutospacing="1" w:after="100" w:afterAutospacing="1"/>
    </w:pPr>
    <w:rPr>
      <w:sz w:val="24"/>
      <w:szCs w:val="24"/>
      <w:lang w:val="en-ID" w:eastAsia="en-ID"/>
    </w:rPr>
  </w:style>
  <w:style w:type="character" w:customStyle="1" w:styleId="UnresolvedMention">
    <w:name w:val="Unresolved Mention"/>
    <w:basedOn w:val="DefaultParagraphFont"/>
    <w:uiPriority w:val="99"/>
    <w:semiHidden/>
    <w:unhideWhenUsed/>
    <w:rsid w:val="000C2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4197">
      <w:bodyDiv w:val="1"/>
      <w:marLeft w:val="0"/>
      <w:marRight w:val="0"/>
      <w:marTop w:val="0"/>
      <w:marBottom w:val="0"/>
      <w:divBdr>
        <w:top w:val="none" w:sz="0" w:space="0" w:color="auto"/>
        <w:left w:val="none" w:sz="0" w:space="0" w:color="auto"/>
        <w:bottom w:val="none" w:sz="0" w:space="0" w:color="auto"/>
        <w:right w:val="none" w:sz="0" w:space="0" w:color="auto"/>
      </w:divBdr>
    </w:div>
    <w:div w:id="110975554">
      <w:bodyDiv w:val="1"/>
      <w:marLeft w:val="0"/>
      <w:marRight w:val="0"/>
      <w:marTop w:val="0"/>
      <w:marBottom w:val="0"/>
      <w:divBdr>
        <w:top w:val="none" w:sz="0" w:space="0" w:color="auto"/>
        <w:left w:val="none" w:sz="0" w:space="0" w:color="auto"/>
        <w:bottom w:val="none" w:sz="0" w:space="0" w:color="auto"/>
        <w:right w:val="none" w:sz="0" w:space="0" w:color="auto"/>
      </w:divBdr>
    </w:div>
    <w:div w:id="157353311">
      <w:bodyDiv w:val="1"/>
      <w:marLeft w:val="0"/>
      <w:marRight w:val="0"/>
      <w:marTop w:val="0"/>
      <w:marBottom w:val="0"/>
      <w:divBdr>
        <w:top w:val="none" w:sz="0" w:space="0" w:color="auto"/>
        <w:left w:val="none" w:sz="0" w:space="0" w:color="auto"/>
        <w:bottom w:val="none" w:sz="0" w:space="0" w:color="auto"/>
        <w:right w:val="none" w:sz="0" w:space="0" w:color="auto"/>
      </w:divBdr>
    </w:div>
    <w:div w:id="172041179">
      <w:bodyDiv w:val="1"/>
      <w:marLeft w:val="0"/>
      <w:marRight w:val="0"/>
      <w:marTop w:val="0"/>
      <w:marBottom w:val="0"/>
      <w:divBdr>
        <w:top w:val="none" w:sz="0" w:space="0" w:color="auto"/>
        <w:left w:val="none" w:sz="0" w:space="0" w:color="auto"/>
        <w:bottom w:val="none" w:sz="0" w:space="0" w:color="auto"/>
        <w:right w:val="none" w:sz="0" w:space="0" w:color="auto"/>
      </w:divBdr>
    </w:div>
    <w:div w:id="278611175">
      <w:bodyDiv w:val="1"/>
      <w:marLeft w:val="0"/>
      <w:marRight w:val="0"/>
      <w:marTop w:val="0"/>
      <w:marBottom w:val="0"/>
      <w:divBdr>
        <w:top w:val="none" w:sz="0" w:space="0" w:color="auto"/>
        <w:left w:val="none" w:sz="0" w:space="0" w:color="auto"/>
        <w:bottom w:val="none" w:sz="0" w:space="0" w:color="auto"/>
        <w:right w:val="none" w:sz="0" w:space="0" w:color="auto"/>
      </w:divBdr>
    </w:div>
    <w:div w:id="391082925">
      <w:bodyDiv w:val="1"/>
      <w:marLeft w:val="0"/>
      <w:marRight w:val="0"/>
      <w:marTop w:val="0"/>
      <w:marBottom w:val="0"/>
      <w:divBdr>
        <w:top w:val="none" w:sz="0" w:space="0" w:color="auto"/>
        <w:left w:val="none" w:sz="0" w:space="0" w:color="auto"/>
        <w:bottom w:val="none" w:sz="0" w:space="0" w:color="auto"/>
        <w:right w:val="none" w:sz="0" w:space="0" w:color="auto"/>
      </w:divBdr>
    </w:div>
    <w:div w:id="618029669">
      <w:bodyDiv w:val="1"/>
      <w:marLeft w:val="0"/>
      <w:marRight w:val="0"/>
      <w:marTop w:val="0"/>
      <w:marBottom w:val="0"/>
      <w:divBdr>
        <w:top w:val="none" w:sz="0" w:space="0" w:color="auto"/>
        <w:left w:val="none" w:sz="0" w:space="0" w:color="auto"/>
        <w:bottom w:val="none" w:sz="0" w:space="0" w:color="auto"/>
        <w:right w:val="none" w:sz="0" w:space="0" w:color="auto"/>
      </w:divBdr>
    </w:div>
    <w:div w:id="726145122">
      <w:bodyDiv w:val="1"/>
      <w:marLeft w:val="0"/>
      <w:marRight w:val="0"/>
      <w:marTop w:val="0"/>
      <w:marBottom w:val="0"/>
      <w:divBdr>
        <w:top w:val="none" w:sz="0" w:space="0" w:color="auto"/>
        <w:left w:val="none" w:sz="0" w:space="0" w:color="auto"/>
        <w:bottom w:val="none" w:sz="0" w:space="0" w:color="auto"/>
        <w:right w:val="none" w:sz="0" w:space="0" w:color="auto"/>
      </w:divBdr>
    </w:div>
    <w:div w:id="785929927">
      <w:bodyDiv w:val="1"/>
      <w:marLeft w:val="0"/>
      <w:marRight w:val="0"/>
      <w:marTop w:val="0"/>
      <w:marBottom w:val="0"/>
      <w:divBdr>
        <w:top w:val="none" w:sz="0" w:space="0" w:color="auto"/>
        <w:left w:val="none" w:sz="0" w:space="0" w:color="auto"/>
        <w:bottom w:val="none" w:sz="0" w:space="0" w:color="auto"/>
        <w:right w:val="none" w:sz="0" w:space="0" w:color="auto"/>
      </w:divBdr>
    </w:div>
    <w:div w:id="907346781">
      <w:bodyDiv w:val="1"/>
      <w:marLeft w:val="0"/>
      <w:marRight w:val="0"/>
      <w:marTop w:val="0"/>
      <w:marBottom w:val="0"/>
      <w:divBdr>
        <w:top w:val="none" w:sz="0" w:space="0" w:color="auto"/>
        <w:left w:val="none" w:sz="0" w:space="0" w:color="auto"/>
        <w:bottom w:val="none" w:sz="0" w:space="0" w:color="auto"/>
        <w:right w:val="none" w:sz="0" w:space="0" w:color="auto"/>
      </w:divBdr>
    </w:div>
    <w:div w:id="919097960">
      <w:bodyDiv w:val="1"/>
      <w:marLeft w:val="0"/>
      <w:marRight w:val="0"/>
      <w:marTop w:val="0"/>
      <w:marBottom w:val="0"/>
      <w:divBdr>
        <w:top w:val="none" w:sz="0" w:space="0" w:color="auto"/>
        <w:left w:val="none" w:sz="0" w:space="0" w:color="auto"/>
        <w:bottom w:val="none" w:sz="0" w:space="0" w:color="auto"/>
        <w:right w:val="none" w:sz="0" w:space="0" w:color="auto"/>
      </w:divBdr>
    </w:div>
    <w:div w:id="921794294">
      <w:bodyDiv w:val="1"/>
      <w:marLeft w:val="0"/>
      <w:marRight w:val="0"/>
      <w:marTop w:val="0"/>
      <w:marBottom w:val="0"/>
      <w:divBdr>
        <w:top w:val="none" w:sz="0" w:space="0" w:color="auto"/>
        <w:left w:val="none" w:sz="0" w:space="0" w:color="auto"/>
        <w:bottom w:val="none" w:sz="0" w:space="0" w:color="auto"/>
        <w:right w:val="none" w:sz="0" w:space="0" w:color="auto"/>
      </w:divBdr>
    </w:div>
    <w:div w:id="1066536078">
      <w:bodyDiv w:val="1"/>
      <w:marLeft w:val="0"/>
      <w:marRight w:val="0"/>
      <w:marTop w:val="0"/>
      <w:marBottom w:val="0"/>
      <w:divBdr>
        <w:top w:val="none" w:sz="0" w:space="0" w:color="auto"/>
        <w:left w:val="none" w:sz="0" w:space="0" w:color="auto"/>
        <w:bottom w:val="none" w:sz="0" w:space="0" w:color="auto"/>
        <w:right w:val="none" w:sz="0" w:space="0" w:color="auto"/>
      </w:divBdr>
    </w:div>
    <w:div w:id="1217619665">
      <w:bodyDiv w:val="1"/>
      <w:marLeft w:val="0"/>
      <w:marRight w:val="0"/>
      <w:marTop w:val="0"/>
      <w:marBottom w:val="0"/>
      <w:divBdr>
        <w:top w:val="none" w:sz="0" w:space="0" w:color="auto"/>
        <w:left w:val="none" w:sz="0" w:space="0" w:color="auto"/>
        <w:bottom w:val="none" w:sz="0" w:space="0" w:color="auto"/>
        <w:right w:val="none" w:sz="0" w:space="0" w:color="auto"/>
      </w:divBdr>
    </w:div>
    <w:div w:id="1273317847">
      <w:bodyDiv w:val="1"/>
      <w:marLeft w:val="0"/>
      <w:marRight w:val="0"/>
      <w:marTop w:val="0"/>
      <w:marBottom w:val="0"/>
      <w:divBdr>
        <w:top w:val="none" w:sz="0" w:space="0" w:color="auto"/>
        <w:left w:val="none" w:sz="0" w:space="0" w:color="auto"/>
        <w:bottom w:val="none" w:sz="0" w:space="0" w:color="auto"/>
        <w:right w:val="none" w:sz="0" w:space="0" w:color="auto"/>
      </w:divBdr>
    </w:div>
    <w:div w:id="1343511283">
      <w:bodyDiv w:val="1"/>
      <w:marLeft w:val="0"/>
      <w:marRight w:val="0"/>
      <w:marTop w:val="0"/>
      <w:marBottom w:val="0"/>
      <w:divBdr>
        <w:top w:val="none" w:sz="0" w:space="0" w:color="auto"/>
        <w:left w:val="none" w:sz="0" w:space="0" w:color="auto"/>
        <w:bottom w:val="none" w:sz="0" w:space="0" w:color="auto"/>
        <w:right w:val="none" w:sz="0" w:space="0" w:color="auto"/>
      </w:divBdr>
    </w:div>
    <w:div w:id="1412005875">
      <w:bodyDiv w:val="1"/>
      <w:marLeft w:val="0"/>
      <w:marRight w:val="0"/>
      <w:marTop w:val="0"/>
      <w:marBottom w:val="0"/>
      <w:divBdr>
        <w:top w:val="none" w:sz="0" w:space="0" w:color="auto"/>
        <w:left w:val="none" w:sz="0" w:space="0" w:color="auto"/>
        <w:bottom w:val="none" w:sz="0" w:space="0" w:color="auto"/>
        <w:right w:val="none" w:sz="0" w:space="0" w:color="auto"/>
      </w:divBdr>
    </w:div>
    <w:div w:id="1510676600">
      <w:bodyDiv w:val="1"/>
      <w:marLeft w:val="0"/>
      <w:marRight w:val="0"/>
      <w:marTop w:val="0"/>
      <w:marBottom w:val="0"/>
      <w:divBdr>
        <w:top w:val="none" w:sz="0" w:space="0" w:color="auto"/>
        <w:left w:val="none" w:sz="0" w:space="0" w:color="auto"/>
        <w:bottom w:val="none" w:sz="0" w:space="0" w:color="auto"/>
        <w:right w:val="none" w:sz="0" w:space="0" w:color="auto"/>
      </w:divBdr>
    </w:div>
    <w:div w:id="1530797756">
      <w:bodyDiv w:val="1"/>
      <w:marLeft w:val="0"/>
      <w:marRight w:val="0"/>
      <w:marTop w:val="0"/>
      <w:marBottom w:val="0"/>
      <w:divBdr>
        <w:top w:val="none" w:sz="0" w:space="0" w:color="auto"/>
        <w:left w:val="none" w:sz="0" w:space="0" w:color="auto"/>
        <w:bottom w:val="none" w:sz="0" w:space="0" w:color="auto"/>
        <w:right w:val="none" w:sz="0" w:space="0" w:color="auto"/>
      </w:divBdr>
    </w:div>
    <w:div w:id="1605654914">
      <w:bodyDiv w:val="1"/>
      <w:marLeft w:val="0"/>
      <w:marRight w:val="0"/>
      <w:marTop w:val="0"/>
      <w:marBottom w:val="0"/>
      <w:divBdr>
        <w:top w:val="none" w:sz="0" w:space="0" w:color="auto"/>
        <w:left w:val="none" w:sz="0" w:space="0" w:color="auto"/>
        <w:bottom w:val="none" w:sz="0" w:space="0" w:color="auto"/>
        <w:right w:val="none" w:sz="0" w:space="0" w:color="auto"/>
      </w:divBdr>
    </w:div>
    <w:div w:id="1670209255">
      <w:bodyDiv w:val="1"/>
      <w:marLeft w:val="0"/>
      <w:marRight w:val="0"/>
      <w:marTop w:val="0"/>
      <w:marBottom w:val="0"/>
      <w:divBdr>
        <w:top w:val="none" w:sz="0" w:space="0" w:color="auto"/>
        <w:left w:val="none" w:sz="0" w:space="0" w:color="auto"/>
        <w:bottom w:val="none" w:sz="0" w:space="0" w:color="auto"/>
        <w:right w:val="none" w:sz="0" w:space="0" w:color="auto"/>
      </w:divBdr>
    </w:div>
    <w:div w:id="1714845839">
      <w:bodyDiv w:val="1"/>
      <w:marLeft w:val="0"/>
      <w:marRight w:val="0"/>
      <w:marTop w:val="0"/>
      <w:marBottom w:val="0"/>
      <w:divBdr>
        <w:top w:val="none" w:sz="0" w:space="0" w:color="auto"/>
        <w:left w:val="none" w:sz="0" w:space="0" w:color="auto"/>
        <w:bottom w:val="none" w:sz="0" w:space="0" w:color="auto"/>
        <w:right w:val="none" w:sz="0" w:space="0" w:color="auto"/>
      </w:divBdr>
    </w:div>
    <w:div w:id="1715109097">
      <w:bodyDiv w:val="1"/>
      <w:marLeft w:val="0"/>
      <w:marRight w:val="0"/>
      <w:marTop w:val="0"/>
      <w:marBottom w:val="0"/>
      <w:divBdr>
        <w:top w:val="none" w:sz="0" w:space="0" w:color="auto"/>
        <w:left w:val="none" w:sz="0" w:space="0" w:color="auto"/>
        <w:bottom w:val="none" w:sz="0" w:space="0" w:color="auto"/>
        <w:right w:val="none" w:sz="0" w:space="0" w:color="auto"/>
      </w:divBdr>
    </w:div>
    <w:div w:id="1812212150">
      <w:bodyDiv w:val="1"/>
      <w:marLeft w:val="0"/>
      <w:marRight w:val="0"/>
      <w:marTop w:val="0"/>
      <w:marBottom w:val="0"/>
      <w:divBdr>
        <w:top w:val="none" w:sz="0" w:space="0" w:color="auto"/>
        <w:left w:val="none" w:sz="0" w:space="0" w:color="auto"/>
        <w:bottom w:val="none" w:sz="0" w:space="0" w:color="auto"/>
        <w:right w:val="none" w:sz="0" w:space="0" w:color="auto"/>
      </w:divBdr>
    </w:div>
    <w:div w:id="1818567977">
      <w:bodyDiv w:val="1"/>
      <w:marLeft w:val="0"/>
      <w:marRight w:val="0"/>
      <w:marTop w:val="0"/>
      <w:marBottom w:val="0"/>
      <w:divBdr>
        <w:top w:val="none" w:sz="0" w:space="0" w:color="auto"/>
        <w:left w:val="none" w:sz="0" w:space="0" w:color="auto"/>
        <w:bottom w:val="none" w:sz="0" w:space="0" w:color="auto"/>
        <w:right w:val="none" w:sz="0" w:space="0" w:color="auto"/>
      </w:divBdr>
    </w:div>
    <w:div w:id="1900701503">
      <w:bodyDiv w:val="1"/>
      <w:marLeft w:val="0"/>
      <w:marRight w:val="0"/>
      <w:marTop w:val="0"/>
      <w:marBottom w:val="0"/>
      <w:divBdr>
        <w:top w:val="none" w:sz="0" w:space="0" w:color="auto"/>
        <w:left w:val="none" w:sz="0" w:space="0" w:color="auto"/>
        <w:bottom w:val="none" w:sz="0" w:space="0" w:color="auto"/>
        <w:right w:val="none" w:sz="0" w:space="0" w:color="auto"/>
      </w:divBdr>
    </w:div>
    <w:div w:id="1904565615">
      <w:bodyDiv w:val="1"/>
      <w:marLeft w:val="0"/>
      <w:marRight w:val="0"/>
      <w:marTop w:val="0"/>
      <w:marBottom w:val="0"/>
      <w:divBdr>
        <w:top w:val="none" w:sz="0" w:space="0" w:color="auto"/>
        <w:left w:val="none" w:sz="0" w:space="0" w:color="auto"/>
        <w:bottom w:val="none" w:sz="0" w:space="0" w:color="auto"/>
        <w:right w:val="none" w:sz="0" w:space="0" w:color="auto"/>
      </w:divBdr>
    </w:div>
    <w:div w:id="1933122296">
      <w:bodyDiv w:val="1"/>
      <w:marLeft w:val="0"/>
      <w:marRight w:val="0"/>
      <w:marTop w:val="0"/>
      <w:marBottom w:val="0"/>
      <w:divBdr>
        <w:top w:val="none" w:sz="0" w:space="0" w:color="auto"/>
        <w:left w:val="none" w:sz="0" w:space="0" w:color="auto"/>
        <w:bottom w:val="none" w:sz="0" w:space="0" w:color="auto"/>
        <w:right w:val="none" w:sz="0" w:space="0" w:color="auto"/>
      </w:divBdr>
    </w:div>
    <w:div w:id="1957249561">
      <w:bodyDiv w:val="1"/>
      <w:marLeft w:val="0"/>
      <w:marRight w:val="0"/>
      <w:marTop w:val="0"/>
      <w:marBottom w:val="0"/>
      <w:divBdr>
        <w:top w:val="none" w:sz="0" w:space="0" w:color="auto"/>
        <w:left w:val="none" w:sz="0" w:space="0" w:color="auto"/>
        <w:bottom w:val="none" w:sz="0" w:space="0" w:color="auto"/>
        <w:right w:val="none" w:sz="0" w:space="0" w:color="auto"/>
      </w:divBdr>
      <w:divsChild>
        <w:div w:id="1529220665">
          <w:marLeft w:val="0"/>
          <w:marRight w:val="0"/>
          <w:marTop w:val="0"/>
          <w:marBottom w:val="0"/>
          <w:divBdr>
            <w:top w:val="none" w:sz="0" w:space="0" w:color="auto"/>
            <w:left w:val="none" w:sz="0" w:space="0" w:color="auto"/>
            <w:bottom w:val="none" w:sz="0" w:space="0" w:color="auto"/>
            <w:right w:val="none" w:sz="0" w:space="0" w:color="auto"/>
          </w:divBdr>
        </w:div>
        <w:div w:id="714625136">
          <w:marLeft w:val="0"/>
          <w:marRight w:val="0"/>
          <w:marTop w:val="0"/>
          <w:marBottom w:val="0"/>
          <w:divBdr>
            <w:top w:val="none" w:sz="0" w:space="0" w:color="auto"/>
            <w:left w:val="none" w:sz="0" w:space="0" w:color="auto"/>
            <w:bottom w:val="none" w:sz="0" w:space="0" w:color="auto"/>
            <w:right w:val="none" w:sz="0" w:space="0" w:color="auto"/>
          </w:divBdr>
        </w:div>
      </w:divsChild>
    </w:div>
    <w:div w:id="208302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ianhan02@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jole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8B9C3-EDC2-4763-88FB-FFE368D41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Pages>
  <Words>6630</Words>
  <Characters>37791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ACER</cp:lastModifiedBy>
  <cp:revision>42</cp:revision>
  <dcterms:created xsi:type="dcterms:W3CDTF">2025-09-02T08:17:00Z</dcterms:created>
  <dcterms:modified xsi:type="dcterms:W3CDTF">2025-09-20T08:25:00Z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87883102-93f4-3085-ab8c-be1da4e3621d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GrammarlyDocumentId">
    <vt:lpwstr>865234c2f0ede54d0fa207890ca2aefd9ac73be8a1e2733b3fbaebc91f743d2a</vt:lpwstr>
  </property>
</Properties>
</file>